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theme/theme1.xml" ContentType="application/vnd.openxmlformats-officedocument.theme+xml"/>
  <Override PartName="/word/_rels/numbering.xml.rels" ContentType="application/vnd.openxmlformats-package.relationships+xml"/>
  <Override PartName="/word/_rels/document.xml.rels" ContentType="application/vnd.openxmlformats-package.relationships+xml"/>
  <Override PartName="/word/media/image1.jpeg" ContentType="image/jpeg"/>
  <Override PartName="/word/media/image2.jpeg" ContentType="image/jpeg"/>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59"/>
        <w:ind w:left="47" w:right="57" w:firstLine="9"/>
        <w:rPr/>
      </w:pPr>
      <w:r>
        <w:rPr/>
      </w:r>
    </w:p>
    <w:p>
      <w:pPr>
        <w:pStyle w:val="Normal"/>
        <w:spacing w:before="0" w:after="259"/>
        <w:ind w:left="47" w:right="57" w:firstLine="9"/>
        <w:rPr/>
      </w:pPr>
      <w:r>
        <w:rPr>
          <w:sz w:val="40"/>
        </w:rPr>
        <w:t>Beszámoló a 2024. évi helyi adóztatási tevékenységről</w:t>
      </w:r>
      <w:r>
        <w:rPr/>
        <w:t xml:space="preserve"> (2024. 11. 12-ig feldolgozott adatok)</w:t>
      </w:r>
    </w:p>
    <w:p>
      <w:pPr>
        <w:pStyle w:val="Normal"/>
        <w:spacing w:before="0" w:after="259"/>
        <w:ind w:left="47" w:right="57" w:firstLine="9"/>
        <w:rPr/>
      </w:pPr>
      <w:r>
        <w:rPr/>
        <w:t>Tisztelt Képviselő-testület!</w:t>
      </w:r>
    </w:p>
    <w:p>
      <w:pPr>
        <w:pStyle w:val="Normal"/>
        <w:spacing w:before="0" w:after="259"/>
        <w:ind w:left="47" w:right="57" w:firstLine="9"/>
        <w:rPr/>
      </w:pPr>
      <w:r>
        <w:rPr/>
        <w:t xml:space="preserve">A helyi önkormányzatok és szerveik, a köztársasági megbízottak, valamint az egyes centrális alárendeltségű szervek feladat- és hatásköreiről szóló 1991. évi XX. törvény 138. § (3) bekezdés g) pontja alapján a települési önkormányzat képviselő-testülete a jegyző beszámoltatása útján ellenőrzi az adóztatást. </w:t>
      </w:r>
    </w:p>
    <w:p>
      <w:pPr>
        <w:pStyle w:val="ListParagraph"/>
        <w:numPr>
          <w:ilvl w:val="0"/>
          <w:numId w:val="1"/>
        </w:numPr>
        <w:spacing w:before="0" w:after="259"/>
        <w:ind w:left="776" w:right="57" w:hanging="720"/>
        <w:contextualSpacing/>
        <w:rPr>
          <w:u w:val="single"/>
        </w:rPr>
      </w:pPr>
      <w:r>
        <w:rPr>
          <w:u w:val="single"/>
        </w:rPr>
        <w:t>A helyi adókról általában</w:t>
      </w:r>
    </w:p>
    <w:p>
      <w:pPr>
        <w:pStyle w:val="Normal"/>
        <w:spacing w:lineRule="auto" w:line="230" w:before="0" w:after="4"/>
        <w:ind w:left="96" w:right="0" w:hanging="5"/>
        <w:jc w:val="left"/>
        <w:rPr/>
      </w:pPr>
      <w:r>
        <w:rPr/>
        <w:t>Magyarország helyi önkormányzatairól szóló 2011. évi CLXXXIX törvény a helyi közügyek, valamint a helyben biztosítható közfeladatok körében ellátandó helyi önkormányzati feladatok közé sorolja a helyi adóval, gazdaságszervezéssel és a turizmussal kapcsolatos feladatokat.</w:t>
      </w:r>
    </w:p>
    <w:p>
      <w:pPr>
        <w:pStyle w:val="Normal"/>
        <w:spacing w:lineRule="auto" w:line="230" w:before="0" w:after="31"/>
        <w:ind w:left="96" w:right="0" w:hanging="5"/>
        <w:jc w:val="left"/>
        <w:rPr/>
      </w:pPr>
      <w:r>
        <w:rPr/>
        <w:t>Az önkormányzat Képviselő-testületének egyik alapjoga, hogy önkormányzati rendelet útján a helyi adóztatást szabályozza. A helyi adók esetében — törvényi keretek között — helyi rendeletalkotás szabályozza az adóztatást.</w:t>
      </w:r>
    </w:p>
    <w:p>
      <w:pPr>
        <w:pStyle w:val="Normal"/>
        <w:spacing w:before="0" w:after="309"/>
        <w:ind w:left="47" w:right="57" w:firstLine="9"/>
        <w:rPr/>
      </w:pPr>
      <w:r>
        <w:rPr/>
        <w:t>A települési önkormányzatok alapvető feladata — a közhatalom helyi közügyekben való gyakorlása mellett - a helyi közszolgáltatások biztosítása. E feladatnak a helyi sajátosságokhoz és igényekhez igazítható ellátása elengedhetetlenné teszi az önkormányzatok önálló gazdálkodása feltételeinek megteremtését. A gazdasági önállósulás egyik eszköze a helyi adók rendszere.</w:t>
      </w:r>
    </w:p>
    <w:p>
      <w:pPr>
        <w:pStyle w:val="Normal"/>
        <w:ind w:left="47" w:right="57" w:firstLine="9"/>
        <w:rPr/>
      </w:pPr>
      <w:r>
        <w:rPr/>
        <w:t>A helyi adókról szóló 1990. évi C. törvény (a továbbiakban: Htv.) 1. § (1) bekezdése alapján e törvény felhatalmazása és rendelkezései szerint a települési önkormányzat képviselő-testülete rendelettel az illetékességi területén helyi adókat vezethet be.</w:t>
      </w:r>
    </w:p>
    <w:p>
      <w:pPr>
        <w:pStyle w:val="Normal"/>
        <w:spacing w:before="0" w:after="267"/>
        <w:ind w:left="47" w:right="57" w:firstLine="9"/>
        <w:rPr/>
      </w:pPr>
      <w:r>
        <w:rPr/>
        <w:t xml:space="preserve">A Htv. alapján a helyi adózás struktúrája három fő rendszerelemre épül, nevezetesen: vagyoni típusú adók, a kommunális adók és a helyi iparűzési adó. </w:t>
      </w:r>
    </w:p>
    <w:p>
      <w:pPr>
        <w:pStyle w:val="Normal"/>
        <w:spacing w:before="0" w:after="267"/>
        <w:ind w:left="47" w:right="57" w:firstLine="9"/>
        <w:rPr/>
      </w:pPr>
      <w:r>
        <w:rPr/>
        <w:t>A képviselő-testület a helyi jogalkotás során nem léphet túl a törvényi kereteken, az önkormányzat csak a Htv.-ben meghatározott esetekben és mértékig jogosult önálló szabályokat alkotni. Az uniós szabályozással összhangban a Htv. 2003. évtől jelentősen korlátozza az önkormányzatok kedvezmény-, mentesség-nyújtási lehetőségét. Különösen érinti ez a vállalkozások részére biztosítható, illetve korlátozottan nyújtható kedvezményi, mentességi szabályokat.</w:t>
      </w:r>
    </w:p>
    <w:p>
      <w:pPr>
        <w:pStyle w:val="Normal"/>
        <w:spacing w:before="0" w:after="635"/>
        <w:ind w:left="47" w:right="57" w:firstLine="9"/>
        <w:rPr/>
      </w:pPr>
      <w:r>
        <w:rPr/>
        <w:t>A helyi adóztatás során az adózás rendjéről szóló 2017. évi CL. törvényben (a továbbiakban: Art.) foglalt szabályok szerint jár el az adóhatóság. Az eljárás során az adóigazgatási rendtartásról szóló 2017. évi CLI. törvény, valamint végrehajtási eljárás során az adóhatóság által foganatosítandó végrehajtási eljárásokról szóló 2017. évi CLIII. törvény szabályait alkalmazzuk.</w:t>
      </w:r>
    </w:p>
    <w:p>
      <w:pPr>
        <w:pStyle w:val="Cmsor1"/>
        <w:tabs>
          <w:tab w:val="clear" w:pos="708"/>
          <w:tab w:val="center" w:pos="538" w:leader="none"/>
          <w:tab w:val="center" w:pos="4589" w:leader="none"/>
        </w:tabs>
        <w:spacing w:before="0" w:after="157"/>
        <w:ind w:left="0" w:right="67" w:hanging="0"/>
        <w:rPr/>
      </w:pPr>
      <w:r>
        <w:rPr>
          <w:u w:val="none"/>
        </w:rPr>
        <w:tab/>
        <w:t xml:space="preserve">II. </w:t>
        <w:tab/>
      </w:r>
      <w:r>
        <w:rPr/>
        <w:t>Helyi adók rendszere és értékelése Baracs Község Önkormányzatánál</w:t>
      </w:r>
    </w:p>
    <w:p>
      <w:pPr>
        <w:pStyle w:val="Normal"/>
        <w:ind w:left="47" w:right="57" w:firstLine="9"/>
        <w:rPr/>
      </w:pPr>
      <w:r>
        <w:rPr/>
        <w:t>Baracs Község Önkormányzata Képviselő-testülete a jelenleg hatályos központi jogszabály alapján megalkotta a helyi adókról szóló 18/2015.(XI.30.) önkormányzati rendeletét.</w:t>
      </w:r>
    </w:p>
    <w:p>
      <w:pPr>
        <w:pStyle w:val="Normal"/>
        <w:ind w:left="47" w:right="57" w:firstLine="9"/>
        <w:rPr/>
      </w:pPr>
      <w:r>
        <w:rPr/>
      </w:r>
    </w:p>
    <w:p>
      <w:pPr>
        <w:pStyle w:val="Cmsor1"/>
        <w:spacing w:before="0" w:after="216"/>
        <w:ind w:left="110" w:right="67" w:hanging="10"/>
        <w:rPr/>
      </w:pPr>
      <w:r>
        <w:rPr/>
        <w:t>1. Magánszemélyek kommunális adója</w:t>
      </w:r>
    </w:p>
    <w:p>
      <w:pPr>
        <w:pStyle w:val="Normal"/>
        <w:ind w:left="47" w:right="57" w:firstLine="9"/>
        <w:rPr/>
      </w:pPr>
      <w:r>
        <w:rPr/>
        <w:t xml:space="preserve">A magánszemélyek kommunális adóját az önkormányzati adóhatóság kivetéssel állapítja meg. Adókötelezettség terheli a Htv. 12. és 18. §-ában meghatározott magánszemélyt. </w:t>
      </w:r>
    </w:p>
    <w:p>
      <w:pPr>
        <w:pStyle w:val="Normal"/>
        <w:ind w:left="47" w:right="57" w:firstLine="9"/>
        <w:rPr/>
      </w:pPr>
      <w:r>
        <w:rPr/>
        <w:t>Az adó megállapításához a fizetésre kötelezettnek, adóbevallást kell benyújtani. A továbbiakban mindaddig nem kell bevallást adni, ameddig az adózást érintő változás nem áll be, ide értendő többek között a kedvezmény megállapítása, valamint az adókötelezettség megszűnése is.</w:t>
      </w:r>
    </w:p>
    <w:p>
      <w:pPr>
        <w:pStyle w:val="Normal"/>
        <w:spacing w:before="0" w:after="180"/>
        <w:ind w:left="17" w:right="0" w:firstLine="9"/>
        <w:rPr/>
      </w:pPr>
      <w:r>
        <w:rPr/>
        <w:t>A rendelet alapján  50 %-os kedvezményben részesül a 60. életévét betöltött fizetésre kötelezett magányszemély. A kedvezmény kezdő időpontja a 60. életév betöltését követő év január l . napja.</w:t>
      </w:r>
    </w:p>
    <w:p>
      <w:pPr>
        <w:pStyle w:val="Normal"/>
        <w:ind w:left="47" w:right="57" w:firstLine="9"/>
        <w:rPr/>
      </w:pPr>
      <w:r>
        <w:rPr/>
        <w:t>A tulajdonosok adataiban történő változásokat folyamatosan követjük. Sok esetben problémát jelent az iratok kézbesítése, mivel az adóalanyok a bejelentett lakcímen nem tartózkodnak, tartózkodási helyük ismeretlen, elérhetőségükről (levelezési cím) bejelentést nem tesznek, illetve nem jelentik be a tulajdonosváltozást időben, csak mikor kézhez veszik a fizetési értesítőket.</w:t>
      </w:r>
    </w:p>
    <w:p>
      <w:pPr>
        <w:pStyle w:val="Normal"/>
        <w:spacing w:before="0" w:after="269"/>
        <w:ind w:left="47" w:right="57" w:firstLine="9"/>
        <w:rPr/>
      </w:pPr>
      <w:r>
        <w:rPr/>
      </w:r>
    </w:p>
    <w:p>
      <w:pPr>
        <w:pStyle w:val="Normal"/>
        <w:spacing w:before="0" w:after="269"/>
        <w:ind w:left="47" w:right="57" w:firstLine="9"/>
        <w:rPr/>
      </w:pPr>
      <w:r>
        <w:rPr/>
        <w:t>A 2024. adóévben költségvetésünkben a kommunális adó tekintetében 12.000.000 Ft került betervezésre, míg a bevétel 13.027.000 Ft volt. A 2024. adóévben 385 kommunális adó határozat készült a változások következtében.</w:t>
      </w:r>
    </w:p>
    <w:p>
      <w:pPr>
        <w:pStyle w:val="Cmsor1"/>
        <w:ind w:left="110" w:right="67" w:hanging="10"/>
        <w:rPr/>
      </w:pPr>
      <w:r>
        <w:rPr/>
        <w:t>2. Termőföld bérbeadásából származó jövedelem</w:t>
      </w:r>
    </w:p>
    <w:p>
      <w:pPr>
        <w:pStyle w:val="Normal"/>
        <w:spacing w:before="0" w:after="551"/>
        <w:ind w:left="47" w:right="57" w:firstLine="9"/>
        <w:rPr/>
      </w:pPr>
      <w:r>
        <w:rPr/>
        <w:t>A magánszemélyek földhaszon-bérbeadásból származó jövedelem adóztatása 1998. január 1. napjától került az önkormányzati adóhatóság hatáskörébe. 2003. január 1-jétől mentesül az adó alól a termőföld-bérbeadásából származó bevétel, ha a termőföld haszonbérbeadása alapjául szolgáló, határozott időre kötött megállapodás (szerződés) alapján a haszonbérlet időtartama az 5 évet eléri. Mindössze egy termőföld bérbeadásából származó jövedelem bevallás érkezik évente a hivatalhoz, a bevétel összege nem jelentős.</w:t>
      </w:r>
    </w:p>
    <w:p>
      <w:pPr>
        <w:pStyle w:val="Normal"/>
        <w:spacing w:before="0" w:after="551"/>
        <w:ind w:left="47" w:right="57" w:firstLine="9"/>
        <w:rPr>
          <w:u w:val="single"/>
        </w:rPr>
      </w:pPr>
      <w:r>
        <w:rPr>
          <w:u w:val="single"/>
        </w:rPr>
        <w:t>3. Helyi iparűzési adó</w:t>
      </w:r>
    </w:p>
    <w:p>
      <w:pPr>
        <w:pStyle w:val="Normal"/>
        <w:spacing w:before="0" w:after="551"/>
        <w:ind w:left="47" w:right="57" w:firstLine="9"/>
        <w:rPr/>
      </w:pPr>
      <w:r>
        <w:rPr/>
        <w:t>Adóköteles az önkormányzat illetékességi területén végzett vállalkozási tevékenység. Az adó alanya a vállalkozó. Adóköteles iparűzési tevékenység alatt a vállalkozó e minőségében végzett nyereség-, illetőleg jövedelemszerzésre irányuló tevékenység értendő.</w:t>
      </w:r>
    </w:p>
    <w:p>
      <w:pPr>
        <w:pStyle w:val="Normal"/>
        <w:spacing w:lineRule="auto" w:line="240" w:before="0" w:after="551"/>
        <w:ind w:left="45" w:right="57" w:firstLine="11"/>
        <w:rPr/>
      </w:pPr>
      <w:r>
        <w:rPr/>
        <w:t>Baracs Községben az adó mértéke a törvény szerinti maximum: 2 %. A vállalkozót a helyi iparűzési adóban adóelőleg fizetési kötelezettség terheli, melyet átalányadózás esetén félévi részletekben önadózás keretében kell megfizetni.  Sajnos ennek kiszámolása a legtöbb esetben még a mai napig problémát jelent, eben az évben ezek korrigálására 62 esetben kellett iparűzési értesítőt küldeni a bevallás javításáról.</w:t>
      </w:r>
    </w:p>
    <w:p>
      <w:pPr>
        <w:pStyle w:val="Normal"/>
        <w:spacing w:lineRule="auto" w:line="240" w:before="0" w:after="551"/>
        <w:ind w:left="45" w:right="57" w:firstLine="11"/>
        <w:rPr/>
      </w:pPr>
      <w:r>
        <w:rPr/>
        <w:t xml:space="preserve">2024. évre az évi módosított előirányzat: 118.000.000 Ft, a tényleges bevétel 149.269.000 Ft. </w:t>
      </w:r>
    </w:p>
    <w:p>
      <w:pPr>
        <w:pStyle w:val="Normal"/>
        <w:spacing w:lineRule="auto" w:line="240" w:before="0" w:after="551"/>
        <w:ind w:left="45" w:right="57" w:firstLine="11"/>
        <w:rPr/>
      </w:pPr>
      <w:r>
        <w:rPr/>
        <w:t>A Htv-ben jelentős változás történt. A KATA adózási formát megszüntették. Helyette 2023. január 1-jétől bevezetésre került az adó alapjának egyszerűsített meghatározása.</w:t>
      </w:r>
    </w:p>
    <w:p>
      <w:pPr>
        <w:pStyle w:val="Cmsor1"/>
        <w:ind w:left="110" w:right="67" w:hanging="10"/>
        <w:rPr/>
      </w:pPr>
      <w:r>
        <w:rPr/>
        <w:t>III. A települési önkormányzatokat megillető egyéb bevételek (adók módiára történő behajtás</w:t>
      </w:r>
    </w:p>
    <w:p>
      <w:pPr>
        <w:pStyle w:val="Normal"/>
        <w:spacing w:before="0" w:after="245"/>
        <w:ind w:left="47" w:right="57" w:firstLine="9"/>
        <w:rPr/>
      </w:pPr>
      <w:r>
        <w:rPr/>
        <w:t>A Polgármesteri hivatal nem csak a saját kintlévőségeit hajtja be végrehajtási eljárás keretében. A más szervek által kimutatott és behajtásra átadott köztartozások behajtási munkálatai is ide tartoznak (gondozási díj, szabálysértési bírság, elővezetési/szabálysértési költség, építésügyi bírság stb.), ráadásul tényleges bevétele ebből az önkormányzatnak nem származik. Valamennyi ilyen módon behajtásra áttett köztartozás annak sikeres behajtását követően tovább utalásra kerül a kimutató szervekhez.</w:t>
      </w:r>
    </w:p>
    <w:p>
      <w:pPr>
        <w:pStyle w:val="Normal"/>
        <w:spacing w:lineRule="auto" w:line="259" w:before="0" w:after="244"/>
        <w:ind w:left="110" w:right="0" w:hanging="10"/>
        <w:jc w:val="left"/>
        <w:rPr/>
      </w:pPr>
      <w:r>
        <w:rPr>
          <w:sz w:val="26"/>
          <w:u w:val="single" w:color="000000"/>
        </w:rPr>
        <w:t>Idegen bevételek:</w:t>
      </w:r>
    </w:p>
    <w:p>
      <w:pPr>
        <w:pStyle w:val="Normal"/>
        <w:ind w:left="47" w:right="57" w:firstLine="9"/>
        <w:rPr/>
      </w:pPr>
      <w:r>
        <w:rPr/>
        <w:t xml:space="preserve">2019. évtől már nem képezik az önkormányzat bevételeit. Itt kerülnek előírásra a társhatóságok, Szociális és Gyermekvédelmi Főigazgatóság, valamint a rendvédelmi szervek saját bevételét képező tartozásokra vonatkozó végrehajtási megkeresései. </w:t>
      </w:r>
    </w:p>
    <w:p>
      <w:pPr>
        <w:pStyle w:val="Normal"/>
        <w:ind w:left="47" w:right="57" w:firstLine="9"/>
        <w:rPr/>
      </w:pPr>
      <w:r>
        <w:rPr/>
        <w:t>A behajtásra átadott ügyek jellegükből kifolyólag (bírságok) nagymértékben olyan személyeket érintenek, akik ismétlődően nem tanúsítanak jogkövető magatartást, így nem csak a bírságok befizetése jelent problémát számukra, hanem a kivetett helyi adók befizetése is. A behajtás során ezen személyek többnyire letiltható jövedelemmel és lefoglalható ingósággal, lakossági folyószámlával nem rendelkeznek.</w:t>
      </w:r>
    </w:p>
    <w:p>
      <w:pPr>
        <w:pStyle w:val="Normal"/>
        <w:spacing w:lineRule="auto" w:line="249" w:before="0" w:after="381"/>
        <w:ind w:left="53" w:right="1046" w:hanging="10"/>
        <w:jc w:val="left"/>
        <w:rPr>
          <w:u w:val="single" w:color="000000"/>
        </w:rPr>
      </w:pPr>
      <w:r>
        <w:rPr>
          <w:u w:val="single" w:color="000000"/>
        </w:rPr>
      </w:r>
    </w:p>
    <w:p>
      <w:pPr>
        <w:pStyle w:val="Normal"/>
        <w:spacing w:lineRule="auto" w:line="249" w:before="0" w:after="381"/>
        <w:ind w:left="53" w:right="1046" w:hanging="10"/>
        <w:jc w:val="left"/>
        <w:rPr/>
      </w:pPr>
      <w:r>
        <w:rPr>
          <w:u w:val="single" w:color="000000"/>
        </w:rPr>
        <w:t>Behajtási cselekmények összesítése 2024. évről</w:t>
      </w:r>
    </w:p>
    <w:p>
      <w:pPr>
        <w:pStyle w:val="Normal"/>
        <w:spacing w:before="0" w:after="131"/>
        <w:ind w:left="47" w:right="57" w:firstLine="9"/>
        <w:rPr/>
      </w:pPr>
      <w:r>
        <w:rPr/>
        <w:t>Amennyiben az adóalanyok határidőben nem fizetik meg az adót, a behajtás iránti eljárásban a törvény szabályai szerint végrehajtási cselekményekre kerülhet sor. Elsősorban fizetési felszólítások kerülnek kiküldésre az adótartozás rendezésére. Ha ez nem vezet eredményre, akkor kerül sor a végrehajtási eljárásra, mely során elrendeljük a munkabérből, illetve a nyugellátásból történő levonást, illetve azonnali beszedési megbízást bocsátunk ki az adós számlájára.</w:t>
      </w:r>
    </w:p>
    <w:p>
      <w:pPr>
        <w:pStyle w:val="Normal"/>
        <w:spacing w:before="0" w:after="128"/>
        <w:ind w:left="47" w:right="57" w:firstLine="9"/>
        <w:rPr/>
      </w:pPr>
      <w:r>
        <w:rPr/>
        <w:t>Összesen 207 db fizetési felhívás került postázásra. A munkabér, illetve nyugdíjletiltások száma összesen 25 db.</w:t>
      </w:r>
    </w:p>
    <w:p>
      <w:pPr>
        <w:pStyle w:val="Normal"/>
        <w:ind w:left="47" w:right="120" w:firstLine="9"/>
        <w:rPr/>
      </w:pPr>
      <w:r>
        <w:rPr/>
        <w:t xml:space="preserve">Az adó-végrehajtási eljárás során az adós köteles a végrehajtási költségátalány megfizetésére, melynek mértéke 2024. július 1-től: 10.000 forint. </w:t>
      </w:r>
    </w:p>
    <w:p>
      <w:pPr>
        <w:pStyle w:val="Normal"/>
        <w:ind w:left="47" w:right="120" w:firstLine="9"/>
        <w:rPr/>
      </w:pPr>
      <w:r>
        <w:rPr/>
      </w:r>
    </w:p>
    <w:p>
      <w:pPr>
        <w:pStyle w:val="Cmsor1"/>
        <w:ind w:left="110" w:right="67" w:hanging="10"/>
        <w:rPr/>
      </w:pPr>
      <w:r>
        <w:rPr/>
        <w:t>IV. Talajterhelési díj</w:t>
      </w:r>
    </w:p>
    <w:p>
      <w:pPr>
        <w:pStyle w:val="Normal"/>
        <w:spacing w:lineRule="auto" w:line="247" w:before="0" w:after="263"/>
        <w:ind w:left="62" w:right="0" w:hanging="0"/>
        <w:rPr/>
      </w:pPr>
      <w:r>
        <w:rPr>
          <w:sz w:val="26"/>
        </w:rPr>
        <w:t>(A környezetterhelési díjról szóló 2003. évi LXXXIX. törvény, Baracs Község Önkormányzata Képviselő-testületének 19</w:t>
      </w:r>
      <w:r>
        <w:rPr>
          <w:sz w:val="26"/>
          <w:u w:val="none" w:color="000000"/>
        </w:rPr>
        <w:t>/2015.(XII.23.)</w:t>
      </w:r>
      <w:r>
        <w:rPr>
          <w:sz w:val="26"/>
        </w:rPr>
        <w:t xml:space="preserve"> rendelete a talajterhelési díjról)</w:t>
      </w:r>
    </w:p>
    <w:p>
      <w:pPr>
        <w:pStyle w:val="Normal"/>
        <w:spacing w:before="0" w:after="524"/>
        <w:ind w:left="47" w:right="57" w:firstLine="9"/>
        <w:rPr/>
      </w:pPr>
      <w:r>
        <w:rPr/>
        <w:t xml:space="preserve">Talajterhelési díjat annak az ingatlan-tulajdonosnak/kibocsátónak kell fizetni, aki a műszakilag rendelkezésre álló közcsatornára nem köt rá, és helyi vízgazdálkodási hatósági, illetve vízjogi engedélyezés hatálya alá tartozó szennyvízelhelyezést — ideértve a szennyvíztározót is </w:t>
      </w:r>
      <w:r>
        <w:rPr/>
        <w:drawing>
          <wp:inline distT="0" distB="0" distL="0" distR="0">
            <wp:extent cx="79375" cy="15240"/>
            <wp:effectExtent l="0" t="0" r="0" b="0"/>
            <wp:docPr id="1" name="Picture 246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4667" descr=""/>
                    <pic:cNvPicPr>
                      <a:picLocks noChangeAspect="1" noChangeArrowheads="1"/>
                    </pic:cNvPicPr>
                  </pic:nvPicPr>
                  <pic:blipFill>
                    <a:blip r:embed="rId2"/>
                    <a:stretch>
                      <a:fillRect/>
                    </a:stretch>
                  </pic:blipFill>
                  <pic:spPr bwMode="auto">
                    <a:xfrm>
                      <a:off x="0" y="0"/>
                      <a:ext cx="79375" cy="15240"/>
                    </a:xfrm>
                    <a:prstGeom prst="rect">
                      <a:avLst/>
                    </a:prstGeom>
                  </pic:spPr>
                </pic:pic>
              </a:graphicData>
            </a:graphic>
          </wp:inline>
        </w:drawing>
      </w:r>
      <w:r>
        <w:rPr/>
        <w:t>alkalmaz. A törvényi szabályozás szerint az önkormányzat a beszedett talajterhelési díjat a környezetvédelmi alapjában elkülönítve köteles kezelni, környezetvédelmi célok megvalósításához. A talajterhelési díj kiszámítása az egységdíj (1200 Ft/m</w:t>
      </w:r>
      <w:r>
        <w:rPr>
          <w:vertAlign w:val="superscript"/>
        </w:rPr>
        <w:t>3</w:t>
      </w:r>
      <w:r>
        <w:rPr/>
        <w:t xml:space="preserve">) és a területérzékenységi szorzó alapján történik (városunkban a területérzékenységi szorzó 1,5). </w:t>
      </w:r>
    </w:p>
    <w:p>
      <w:pPr>
        <w:pStyle w:val="Normal"/>
        <w:ind w:left="47" w:right="57" w:firstLine="9"/>
        <w:rPr/>
      </w:pPr>
      <w:r>
        <w:rPr/>
      </w:r>
    </w:p>
    <w:p>
      <w:pPr>
        <w:pStyle w:val="Normal"/>
        <w:spacing w:lineRule="auto" w:line="247" w:before="0" w:after="13"/>
        <w:ind w:left="62" w:right="0" w:hanging="0"/>
        <w:rPr>
          <w:sz w:val="26"/>
        </w:rPr>
      </w:pPr>
      <w:r>
        <w:rPr>
          <w:sz w:val="26"/>
        </w:rPr>
        <w:t>Baracs, 2024. 11. 13.</w:t>
      </w:r>
    </w:p>
    <w:p>
      <w:pPr>
        <w:pStyle w:val="Normal"/>
        <w:spacing w:lineRule="auto" w:line="247" w:before="0" w:after="13"/>
        <w:ind w:left="62" w:right="0" w:hanging="0"/>
        <w:rPr/>
      </w:pPr>
      <w:r>
        <w:rPr/>
      </w:r>
    </w:p>
    <w:p>
      <w:pPr>
        <w:pStyle w:val="Normal"/>
        <w:spacing w:lineRule="auto" w:line="247" w:before="0" w:after="13"/>
        <w:ind w:left="62" w:right="0" w:hanging="0"/>
        <w:rPr/>
      </w:pPr>
      <w:r>
        <w:rPr/>
        <w:tab/>
        <w:tab/>
        <w:tab/>
        <w:tab/>
        <w:tab/>
        <w:tab/>
        <w:tab/>
        <w:tab/>
        <w:t>Pasker Istvánné</w:t>
      </w:r>
    </w:p>
    <w:p>
      <w:pPr>
        <w:pStyle w:val="Normal"/>
        <w:spacing w:lineRule="auto" w:line="247" w:before="0" w:after="13"/>
        <w:ind w:left="62" w:right="0" w:hanging="0"/>
        <w:rPr/>
      </w:pPr>
      <w:r>
        <w:rPr/>
        <w:tab/>
        <w:tab/>
        <w:tab/>
        <w:tab/>
        <w:tab/>
        <w:tab/>
        <w:tab/>
        <w:tab/>
        <w:t>adóügyi előadó</w:t>
      </w:r>
    </w:p>
    <w:sectPr>
      <w:footerReference w:type="even" r:id="rId3"/>
      <w:footerReference w:type="default" r:id="rId4"/>
      <w:footerReference w:type="first" r:id="rId5"/>
      <w:type w:val="nextPage"/>
      <w:pgSz w:w="11906" w:h="16838"/>
      <w:pgMar w:left="1306" w:right="1469" w:gutter="0" w:header="0" w:top="1506" w:footer="708" w:bottom="93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160"/>
      <w:ind w:left="0" w:right="0" w:hanging="0"/>
      <w:jc w:val="lef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160"/>
      <w:ind w:left="0" w:right="0" w:hanging="0"/>
      <w:jc w:val="lef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160"/>
      <w:ind w:left="0" w:right="0" w:hanging="0"/>
      <w:jc w:val="lef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numPicBullet w:numPicBulletId="0">
    <w:pict>
      <v:shape style="width:17.25pt;height:5.25pt" o:bullet="t">
        <v:imagedata r:id="rId1" o:title=""/>
      </v:shape>
    </w:pict>
  </w:numPicBullet>
  <w:abstractNum w:abstractNumId="1">
    <w:lvl w:ilvl="0">
      <w:start w:val="1"/>
      <w:numFmt w:val="upperRoman"/>
      <w:lvlText w:val="%1."/>
      <w:lvlJc w:val="left"/>
      <w:pPr>
        <w:tabs>
          <w:tab w:val="num" w:pos="0"/>
        </w:tabs>
        <w:ind w:left="776" w:hanging="720"/>
      </w:pPr>
      <w:rPr/>
    </w:lvl>
    <w:lvl w:ilvl="1">
      <w:start w:val="1"/>
      <w:numFmt w:val="lowerLetter"/>
      <w:lvlText w:val="%2."/>
      <w:lvlJc w:val="left"/>
      <w:pPr>
        <w:tabs>
          <w:tab w:val="num" w:pos="0"/>
        </w:tabs>
        <w:ind w:left="1136" w:hanging="360"/>
      </w:pPr>
      <w:rPr/>
    </w:lvl>
    <w:lvl w:ilvl="2">
      <w:start w:val="1"/>
      <w:numFmt w:val="lowerRoman"/>
      <w:lvlText w:val="%3."/>
      <w:lvlJc w:val="right"/>
      <w:pPr>
        <w:tabs>
          <w:tab w:val="num" w:pos="0"/>
        </w:tabs>
        <w:ind w:left="1856" w:hanging="180"/>
      </w:pPr>
      <w:rPr/>
    </w:lvl>
    <w:lvl w:ilvl="3">
      <w:start w:val="1"/>
      <w:numFmt w:val="decimal"/>
      <w:lvlText w:val="%4."/>
      <w:lvlJc w:val="left"/>
      <w:pPr>
        <w:tabs>
          <w:tab w:val="num" w:pos="0"/>
        </w:tabs>
        <w:ind w:left="2576" w:hanging="360"/>
      </w:pPr>
      <w:rPr/>
    </w:lvl>
    <w:lvl w:ilvl="4">
      <w:start w:val="1"/>
      <w:numFmt w:val="lowerLetter"/>
      <w:lvlText w:val="%5."/>
      <w:lvlJc w:val="left"/>
      <w:pPr>
        <w:tabs>
          <w:tab w:val="num" w:pos="0"/>
        </w:tabs>
        <w:ind w:left="3296" w:hanging="360"/>
      </w:pPr>
      <w:rPr/>
    </w:lvl>
    <w:lvl w:ilvl="5">
      <w:start w:val="1"/>
      <w:numFmt w:val="lowerRoman"/>
      <w:lvlText w:val="%6."/>
      <w:lvlJc w:val="right"/>
      <w:pPr>
        <w:tabs>
          <w:tab w:val="num" w:pos="0"/>
        </w:tabs>
        <w:ind w:left="4016" w:hanging="180"/>
      </w:pPr>
      <w:rPr/>
    </w:lvl>
    <w:lvl w:ilvl="6">
      <w:start w:val="1"/>
      <w:numFmt w:val="decimal"/>
      <w:lvlText w:val="%7."/>
      <w:lvlJc w:val="left"/>
      <w:pPr>
        <w:tabs>
          <w:tab w:val="num" w:pos="0"/>
        </w:tabs>
        <w:ind w:left="4736" w:hanging="360"/>
      </w:pPr>
      <w:rPr/>
    </w:lvl>
    <w:lvl w:ilvl="7">
      <w:start w:val="1"/>
      <w:numFmt w:val="lowerLetter"/>
      <w:lvlText w:val="%8."/>
      <w:lvlJc w:val="left"/>
      <w:pPr>
        <w:tabs>
          <w:tab w:val="num" w:pos="0"/>
        </w:tabs>
        <w:ind w:left="5456" w:hanging="360"/>
      </w:pPr>
      <w:rPr/>
    </w:lvl>
    <w:lvl w:ilvl="8">
      <w:start w:val="1"/>
      <w:numFmt w:val="lowerRoman"/>
      <w:lvlText w:val="%9."/>
      <w:lvlJc w:val="right"/>
      <w:pPr>
        <w:tabs>
          <w:tab w:val="num" w:pos="0"/>
        </w:tabs>
        <w:ind w:left="6176"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hu-H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hu-HU" w:eastAsia="hu-H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2" w:before="0" w:after="5"/>
      <w:ind w:left="77" w:right="67" w:firstLine="9"/>
      <w:jc w:val="both"/>
    </w:pPr>
    <w:rPr>
      <w:rFonts w:ascii="Times New Roman" w:hAnsi="Times New Roman" w:eastAsia="Times New Roman" w:cs="Times New Roman"/>
      <w:color w:val="000000"/>
      <w:kern w:val="0"/>
      <w:sz w:val="24"/>
      <w:szCs w:val="22"/>
      <w:lang w:val="hu-HU" w:eastAsia="hu-HU" w:bidi="ar-SA"/>
    </w:rPr>
  </w:style>
  <w:style w:type="paragraph" w:styleId="Cmsor1">
    <w:name w:val="Heading 1"/>
    <w:next w:val="Normal"/>
    <w:link w:val="Cmsor1Char"/>
    <w:uiPriority w:val="9"/>
    <w:qFormat/>
    <w:pPr>
      <w:keepNext w:val="true"/>
      <w:keepLines/>
      <w:widowControl/>
      <w:bidi w:val="0"/>
      <w:spacing w:lineRule="auto" w:line="259" w:before="0" w:after="244"/>
      <w:ind w:left="480" w:hanging="10"/>
      <w:jc w:val="left"/>
      <w:outlineLvl w:val="0"/>
    </w:pPr>
    <w:rPr>
      <w:rFonts w:ascii="Times New Roman" w:hAnsi="Times New Roman" w:eastAsia="Times New Roman" w:cs="Times New Roman"/>
      <w:color w:val="000000"/>
      <w:kern w:val="0"/>
      <w:sz w:val="26"/>
      <w:szCs w:val="22"/>
      <w:u w:val="single" w:color="000000"/>
      <w:lang w:val="hu-HU" w:eastAsia="hu-HU" w:bidi="ar-SA"/>
    </w:rPr>
  </w:style>
  <w:style w:type="paragraph" w:styleId="Cmsor2">
    <w:name w:val="Heading 2"/>
    <w:next w:val="Normal"/>
    <w:link w:val="Cmsor2Char"/>
    <w:uiPriority w:val="9"/>
    <w:unhideWhenUsed/>
    <w:qFormat/>
    <w:pPr>
      <w:keepNext w:val="true"/>
      <w:keepLines/>
      <w:widowControl/>
      <w:bidi w:val="0"/>
      <w:spacing w:lineRule="auto" w:line="259" w:before="0" w:after="244"/>
      <w:ind w:left="480" w:hanging="10"/>
      <w:jc w:val="left"/>
      <w:outlineLvl w:val="1"/>
    </w:pPr>
    <w:rPr>
      <w:rFonts w:ascii="Times New Roman" w:hAnsi="Times New Roman" w:eastAsia="Times New Roman" w:cs="Times New Roman"/>
      <w:color w:val="000000"/>
      <w:kern w:val="0"/>
      <w:sz w:val="26"/>
      <w:szCs w:val="22"/>
      <w:u w:val="single" w:color="000000"/>
      <w:lang w:val="hu-HU" w:eastAsia="hu-HU" w:bidi="ar-SA"/>
    </w:rPr>
  </w:style>
  <w:style w:type="character" w:styleId="DefaultParagraphFont" w:default="1">
    <w:name w:val="Default Paragraph Font"/>
    <w:uiPriority w:val="1"/>
    <w:semiHidden/>
    <w:unhideWhenUsed/>
    <w:qFormat/>
    <w:rPr/>
  </w:style>
  <w:style w:type="character" w:styleId="Cmsor1Char" w:customStyle="1">
    <w:name w:val="Címsor 1 Char"/>
    <w:qFormat/>
    <w:rPr>
      <w:rFonts w:ascii="Times New Roman" w:hAnsi="Times New Roman" w:eastAsia="Times New Roman" w:cs="Times New Roman"/>
      <w:color w:val="000000"/>
      <w:sz w:val="26"/>
      <w:u w:val="single" w:color="000000"/>
    </w:rPr>
  </w:style>
  <w:style w:type="character" w:styleId="Cmsor2Char" w:customStyle="1">
    <w:name w:val="Címsor 2 Char"/>
    <w:qFormat/>
    <w:rPr>
      <w:rFonts w:ascii="Times New Roman" w:hAnsi="Times New Roman" w:eastAsia="Times New Roman" w:cs="Times New Roman"/>
      <w:color w:val="000000"/>
      <w:sz w:val="26"/>
      <w:u w:val="single" w:color="000000"/>
    </w:rPr>
  </w:style>
  <w:style w:type="paragraph" w:styleId="Cmsor">
    <w:name w:val="Címsor"/>
    <w:basedOn w:val="Normal"/>
    <w:next w:val="Szvegtrzs"/>
    <w:qFormat/>
    <w:pPr>
      <w:keepNext w:val="true"/>
      <w:spacing w:before="240" w:after="120"/>
    </w:pPr>
    <w:rPr>
      <w:rFonts w:ascii="Times New Roman" w:hAnsi="Times New Roman" w:eastAsia="PingFang SC" w:cs="Arial Unicode MS"/>
      <w:sz w:val="28"/>
      <w:szCs w:val="28"/>
    </w:rPr>
  </w:style>
  <w:style w:type="paragraph" w:styleId="Szvegtrzs">
    <w:name w:val="Body Text"/>
    <w:basedOn w:val="Normal"/>
    <w:pPr>
      <w:spacing w:lineRule="auto" w:line="276" w:before="0" w:after="140"/>
    </w:pPr>
    <w:rPr/>
  </w:style>
  <w:style w:type="paragraph" w:styleId="Lista">
    <w:name w:val="List"/>
    <w:basedOn w:val="Szvegtrzs"/>
    <w:pPr/>
    <w:rPr>
      <w:rFonts w:ascii="Times New Roman" w:hAnsi="Times New Roman" w:cs="Arial Unicode MS"/>
    </w:rPr>
  </w:style>
  <w:style w:type="paragraph" w:styleId="Felirat">
    <w:name w:val="Caption"/>
    <w:basedOn w:val="Normal"/>
    <w:qFormat/>
    <w:pPr>
      <w:suppressLineNumbers/>
      <w:spacing w:before="120" w:after="120"/>
    </w:pPr>
    <w:rPr>
      <w:rFonts w:ascii="Times New Roman" w:hAnsi="Times New Roman" w:cs="Arial Unicode MS"/>
      <w:i/>
      <w:iCs/>
      <w:sz w:val="24"/>
      <w:szCs w:val="24"/>
    </w:rPr>
  </w:style>
  <w:style w:type="paragraph" w:styleId="Trgymutat">
    <w:name w:val="Tárgymutató"/>
    <w:basedOn w:val="Normal"/>
    <w:qFormat/>
    <w:pPr>
      <w:suppressLineNumbers/>
    </w:pPr>
    <w:rPr>
      <w:rFonts w:ascii="Times New Roman" w:hAnsi="Times New Roman" w:cs="Arial Unicode MS"/>
      <w:lang w:val="zxx" w:eastAsia="zxx" w:bidi="zxx"/>
    </w:rPr>
  </w:style>
  <w:style w:type="paragraph" w:styleId="ListParagraph">
    <w:name w:val="List Paragraph"/>
    <w:basedOn w:val="Normal"/>
    <w:uiPriority w:val="34"/>
    <w:qFormat/>
    <w:rsid w:val="00c33b40"/>
    <w:pPr>
      <w:spacing w:before="0" w:after="5"/>
      <w:ind w:left="720" w:right="67" w:firstLine="9"/>
      <w:contextualSpacing/>
    </w:pPr>
    <w:rPr/>
  </w:style>
  <w:style w:type="paragraph" w:styleId="Lfejsllb">
    <w:name w:val="Élőfej és élőláb"/>
    <w:basedOn w:val="Normal"/>
    <w:qFormat/>
    <w:pPr/>
    <w:rPr/>
  </w:style>
  <w:style w:type="paragraph" w:styleId="Llb">
    <w:name w:val="Footer"/>
    <w:basedOn w:val="Lfejsllb"/>
    <w:pPr/>
    <w:rPr/>
  </w:style>
  <w:style w:type="numbering" w:styleId="NoList" w:default="1">
    <w:name w:val="No List"/>
    <w:uiPriority w:val="99"/>
    <w:semiHidden/>
    <w:unhideWhenUsed/>
    <w:qFormat/>
  </w:style>
  <w:style w:type="table" w:default="1" w:styleId="Normltblzat">
    <w:name w:val="Normal Table"/>
    <w:uiPriority w:val="99"/>
    <w:semiHidden/>
    <w:unhideWhenUsed/>
    <w:tblPr>
      <w:tblCellMar>
        <w:top w:w="0" w:type="dxa"/>
        <w:left w:w="108" w:type="dxa"/>
        <w:bottom w:w="0" w:type="dxa"/>
        <w:right w:w="108" w:type="dxa"/>
      </w:tblCellMar>
    </w:tblPr>
  </w:style>
  <w:style w:type="table" w:customStyle="1" w:styleId="TableGrid">
    <w:name w:val="TableGrid"/>
    <w:pPr>
      <w:spacing w:after="0" w:line="240" w:lineRule="auto"/>
    </w:p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numbering.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Application>LibreOffice/7.4.2.3$MacOSX_AARCH64 LibreOffice_project/382eef1f22670f7f4118c8c2dd222ec7ad009daf</Application>
  <AppVersion>15.0000</AppVersion>
  <Pages>2</Pages>
  <Words>1040</Words>
  <Characters>7420</Characters>
  <CharactersWithSpaces>8449</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2022-05-03T13:35:00Z</dcterms:created>
  <dc:creator>Farkas Hajnalka</dc:creator>
  <dc:description/>
  <dc:language>hu-HU</dc:language>
  <cp:lastModifiedBy>Istvánné Pasker</cp:lastModifiedBy>
  <cp:lastPrinted>2024-11-13T08:26:00Z</cp:lastPrinted>
  <dcterms:modified xsi:type="dcterms:W3CDTF">2024-11-13T08:26:00Z</dcterms:modified>
  <cp:revision>12</cp:revision>
  <dc:subject/>
  <dc:title>összefűzött Ny 14 Beszámoló a 2020 évi helyi adóztatási tevékenységéről.pdf</dc:title>
</cp:coreProperties>
</file>

<file path=docProps/custom.xml><?xml version="1.0" encoding="utf-8"?>
<Properties xmlns="http://schemas.openxmlformats.org/officeDocument/2006/custom-properties" xmlns:vt="http://schemas.openxmlformats.org/officeDocument/2006/docPropsVTypes"/>
</file>