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color w:val="00000A"/>
        </w:rPr>
      </w:pPr>
      <w:r>
        <w:rPr>
          <w:color w:val="auto"/>
        </w:rPr>
        <w:drawing>
          <wp:inline distT="0" distB="0" distL="0" distR="0">
            <wp:extent cx="1995170" cy="1210310"/>
            <wp:effectExtent l="0" t="0" r="0" b="0"/>
            <wp:docPr id="1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color w:val="auto"/>
          <w:sz w:val="18"/>
          <w:szCs w:val="18"/>
        </w:rPr>
      </w:pPr>
      <w:r>
        <w:rPr>
          <w:rFonts w:cs="Verdana" w:ascii="Verdana" w:hAnsi="Verdana"/>
          <w:b/>
          <w:color w:val="auto"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color w:val="auto"/>
          <w:sz w:val="4"/>
          <w:szCs w:val="4"/>
          <w:u w:val="single"/>
        </w:rPr>
      </w:pPr>
      <w:r>
        <w:rPr>
          <w:rFonts w:cs="Verdana" w:ascii="Verdana" w:hAnsi="Verdana"/>
          <w:b/>
          <w:color w:val="auto"/>
          <w:sz w:val="4"/>
          <w:szCs w:val="4"/>
          <w:u w:val="single"/>
        </w:rPr>
      </w:r>
    </w:p>
    <w:p>
      <w:pPr>
        <w:pStyle w:val="Normal"/>
        <w:spacing w:before="0" w:after="0"/>
        <w:jc w:val="center"/>
        <w:rPr>
          <w:color w:val="00000A"/>
        </w:rPr>
      </w:pPr>
      <w:bookmarkStart w:id="0" w:name="__DdeLink__32172_1225980912"/>
      <w:r>
        <w:rPr>
          <w:rFonts w:cs="Verdana" w:ascii="Verdana" w:hAnsi="Verdana"/>
          <w:b/>
          <w:color w:val="auto"/>
          <w:sz w:val="40"/>
          <w:szCs w:val="40"/>
          <w:u w:val="single"/>
        </w:rPr>
        <w:t>Információbiztonsági felelősi</w:t>
      </w:r>
      <w:bookmarkEnd w:id="0"/>
      <w:r>
        <w:rPr>
          <w:rFonts w:cs="Verdana" w:ascii="Verdana" w:hAnsi="Verdana"/>
          <w:b/>
          <w:color w:val="auto"/>
          <w:sz w:val="40"/>
          <w:szCs w:val="40"/>
          <w:u w:val="single"/>
        </w:rPr>
        <w:t xml:space="preserve"> megbízási szerződés</w:t>
      </w:r>
    </w:p>
    <w:p>
      <w:pPr>
        <w:pStyle w:val="Normal"/>
        <w:spacing w:before="0" w:after="0"/>
        <w:rPr>
          <w:rFonts w:ascii="Verdana" w:hAnsi="Verdana" w:cs="Verdana"/>
          <w:color w:val="auto"/>
          <w:sz w:val="4"/>
          <w:szCs w:val="4"/>
        </w:rPr>
      </w:pPr>
      <w:r>
        <w:rPr>
          <w:rFonts w:cs="Verdana" w:ascii="Verdana" w:hAnsi="Verdana"/>
          <w:color w:val="auto"/>
          <w:sz w:val="4"/>
          <w:szCs w:val="4"/>
        </w:rPr>
      </w:r>
    </w:p>
    <w:p>
      <w:pPr>
        <w:pStyle w:val="Normal"/>
        <w:rPr>
          <w:rFonts w:ascii="Verdana" w:hAnsi="Verdana" w:cs="Verdana"/>
          <w:color w:val="auto"/>
          <w:sz w:val="18"/>
          <w:szCs w:val="18"/>
        </w:rPr>
      </w:pPr>
      <w:r>
        <w:rPr>
          <w:rFonts w:cs="Verdana" w:ascii="Verdana" w:hAnsi="Verdana"/>
          <w:color w:val="auto"/>
          <w:sz w:val="18"/>
          <w:szCs w:val="18"/>
        </w:rPr>
      </w:r>
    </w:p>
    <w:p>
      <w:pPr>
        <w:pStyle w:val="Normal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(a továbbiakban: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szerződés</w:t>
      </w:r>
      <w:r>
        <w:rPr>
          <w:rFonts w:cs="Verdana" w:ascii="Verdana" w:hAnsi="Verdana"/>
          <w:color w:val="auto"/>
          <w:sz w:val="18"/>
          <w:szCs w:val="18"/>
        </w:rPr>
        <w:t>), amely létrejött egyrészről a</w:t>
      </w:r>
    </w:p>
    <w:p>
      <w:pPr>
        <w:pStyle w:val="Normal"/>
        <w:rPr>
          <w:rFonts w:ascii="Verdana" w:hAnsi="Verdana" w:cs="Verdana"/>
          <w:color w:val="auto"/>
          <w:sz w:val="18"/>
          <w:szCs w:val="18"/>
        </w:rPr>
      </w:pPr>
      <w:r>
        <w:rPr>
          <w:rFonts w:cs="Verdana" w:ascii="Verdana" w:hAnsi="Verdana"/>
          <w:color w:val="auto"/>
          <w:sz w:val="18"/>
          <w:szCs w:val="18"/>
        </w:rPr>
      </w:r>
    </w:p>
    <w:p>
      <w:pPr>
        <w:pStyle w:val="Normal"/>
        <w:spacing w:lineRule="auto" w:line="360"/>
        <w:rPr>
          <w:color w:val="auto"/>
        </w:rPr>
      </w:pPr>
      <w:r>
        <w:rPr>
          <w:rFonts w:eastAsia="SimSun" w:cs="Verdana" w:ascii="Verdana" w:hAnsi="Verdana"/>
          <w:b/>
          <w:color w:val="auto"/>
          <w:sz w:val="18"/>
          <w:szCs w:val="18"/>
          <w:lang w:val="hu-HU" w:eastAsia="zh-CN" w:bidi="hi-IN"/>
        </w:rPr>
        <w:t>Baracsi Polgármesteri Hivatal</w:t>
      </w:r>
      <w:r>
        <w:rPr>
          <w:rFonts w:eastAsia="SimSun" w:cs="Verdana" w:ascii="Verdana" w:hAnsi="Verdana"/>
          <w:b/>
          <w:color w:val="auto"/>
          <w:sz w:val="18"/>
          <w:szCs w:val="18"/>
          <w:lang w:val="hu-HU" w:eastAsia="zh-CN" w:bidi="hi-IN"/>
        </w:rPr>
        <w:t>,</w:t>
      </w:r>
      <w:r>
        <w:rPr>
          <w:rFonts w:cs="Verdana" w:ascii="Verdana" w:hAnsi="Verdana"/>
          <w:b/>
          <w:color w:val="auto"/>
          <w:sz w:val="18"/>
          <w:szCs w:val="18"/>
        </w:rPr>
        <w:t xml:space="preserve"> </w:t>
      </w: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mint megbízó (a továbbiakban: </w:t>
      </w:r>
      <w:r>
        <w:rPr>
          <w:rFonts w:cs="Verdana" w:ascii="Verdana" w:hAnsi="Verdana"/>
          <w:b/>
          <w:bCs/>
          <w:color w:val="auto"/>
          <w:sz w:val="18"/>
          <w:szCs w:val="18"/>
        </w:rPr>
        <w:t>Megbízó</w:t>
      </w: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>)</w:t>
      </w:r>
    </w:p>
    <w:p>
      <w:pPr>
        <w:pStyle w:val="Normal"/>
        <w:spacing w:lineRule="auto" w:line="360"/>
        <w:rPr>
          <w:color w:val="00000A"/>
        </w:rPr>
      </w:pP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Képviselője: </w:t>
      </w:r>
    </w:p>
    <w:p>
      <w:pPr>
        <w:pStyle w:val="Normal"/>
        <w:spacing w:lineRule="auto" w:line="360"/>
        <w:rPr>
          <w:color w:val="00000A"/>
        </w:rPr>
      </w:pP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Címe: </w:t>
      </w:r>
    </w:p>
    <w:p>
      <w:pPr>
        <w:pStyle w:val="Normal"/>
        <w:spacing w:lineRule="auto" w:line="360"/>
        <w:rPr>
          <w:color w:val="00000A"/>
        </w:rPr>
      </w:pP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Telefonszáma: </w:t>
      </w:r>
    </w:p>
    <w:p>
      <w:pPr>
        <w:pStyle w:val="Normal"/>
        <w:spacing w:lineRule="auto" w:line="360"/>
        <w:rPr>
          <w:color w:val="00000A"/>
        </w:rPr>
      </w:pP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Adószáma: </w:t>
      </w:r>
    </w:p>
    <w:p>
      <w:pPr>
        <w:pStyle w:val="Normal"/>
        <w:spacing w:lineRule="auto" w:line="360"/>
        <w:rPr>
          <w:color w:val="00000A"/>
        </w:rPr>
      </w:pP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Törzskönyvi azonosító: </w:t>
      </w:r>
    </w:p>
    <w:p>
      <w:pPr>
        <w:pStyle w:val="Normal"/>
        <w:spacing w:lineRule="auto" w:line="360"/>
        <w:rPr>
          <w:color w:val="00000A"/>
        </w:rPr>
      </w:pP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Számlaszáma: </w:t>
      </w:r>
    </w:p>
    <w:p>
      <w:pPr>
        <w:pStyle w:val="Normal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cs="Verdana" w:ascii="Verdana" w:hAnsi="Verdana"/>
          <w:color w:val="auto"/>
          <w:sz w:val="18"/>
          <w:szCs w:val="18"/>
        </w:rPr>
      </w:r>
    </w:p>
    <w:p>
      <w:pPr>
        <w:pStyle w:val="Normal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másrészről a</w:t>
      </w:r>
    </w:p>
    <w:p>
      <w:pPr>
        <w:pStyle w:val="Normal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cs="Verdana" w:ascii="Verdana" w:hAnsi="Verdana"/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color w:val="00000A"/>
        </w:rPr>
      </w:pPr>
      <w:r>
        <w:rPr>
          <w:rFonts w:cs="Verdana" w:ascii="Verdana" w:hAnsi="Verdana"/>
          <w:b/>
          <w:bCs/>
          <w:color w:val="auto"/>
          <w:sz w:val="18"/>
          <w:szCs w:val="18"/>
        </w:rPr>
        <w:t>Web Biztonság Informatika Kft.</w:t>
      </w: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, </w:t>
      </w:r>
      <w:r>
        <w:rPr>
          <w:rFonts w:cs="Verdana" w:ascii="Verdana" w:hAnsi="Verdana"/>
          <w:color w:val="auto"/>
          <w:sz w:val="18"/>
          <w:szCs w:val="18"/>
        </w:rPr>
        <w:t xml:space="preserve">mint megbízott (a továbbiakban: </w:t>
      </w:r>
      <w:r>
        <w:rPr>
          <w:rFonts w:cs="Verdana" w:ascii="Verdana" w:hAnsi="Verdana"/>
          <w:b/>
          <w:color w:val="auto"/>
          <w:sz w:val="18"/>
          <w:szCs w:val="18"/>
        </w:rPr>
        <w:t>Megbízott</w:t>
      </w:r>
      <w:r>
        <w:rPr>
          <w:rFonts w:cs="Verdana" w:ascii="Verdana" w:hAnsi="Verdana"/>
          <w:color w:val="auto"/>
          <w:sz w:val="18"/>
          <w:szCs w:val="18"/>
        </w:rPr>
        <w:t xml:space="preserve">), 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Képviselője: Tamás Bence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Székhelye: 5600 Békéscsaba, Felsőnyomás 166/1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  <w:u w:val="single"/>
        </w:rPr>
        <w:t>Levelezési címe: 1076 Budapest, Szinva utca 8. 1./7.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Telefonszáma: </w:t>
        <w:tab/>
        <w:t>+36 70 236 23 01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Adószáma: 24261175-2-04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Cégjegyzékszáma: 04-09-012292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Számlaszáma: 18203088-06017862-40010018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>E-mail: info@wbinformatika.hu</w:t>
      </w:r>
    </w:p>
    <w:p>
      <w:pPr>
        <w:pStyle w:val="Normal"/>
        <w:rPr>
          <w:b w:val="false"/>
          <w:b w:val="false"/>
          <w:bCs w:val="false"/>
          <w:color w:val="auto"/>
          <w:sz w:val="18"/>
          <w:szCs w:val="18"/>
        </w:rPr>
      </w:pPr>
      <w:r>
        <w:rPr>
          <w:b w:val="false"/>
          <w:bCs w:val="false"/>
          <w:color w:val="auto"/>
          <w:sz w:val="18"/>
          <w:szCs w:val="18"/>
        </w:rPr>
      </w:r>
    </w:p>
    <w:p>
      <w:pPr>
        <w:pStyle w:val="Normal"/>
        <w:jc w:val="both"/>
        <w:rPr>
          <w:color w:val="00000A"/>
        </w:rPr>
      </w:pP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>között az alábbi feltételekkel:</w:t>
      </w:r>
    </w:p>
    <w:p>
      <w:pPr>
        <w:pStyle w:val="Normal"/>
        <w:rPr>
          <w:rFonts w:ascii="Verdana" w:hAnsi="Verdana" w:cs="Verdana"/>
          <w:color w:val="auto"/>
          <w:sz w:val="18"/>
          <w:szCs w:val="18"/>
        </w:rPr>
      </w:pPr>
      <w:r>
        <w:rPr>
          <w:rFonts w:cs="Verdana" w:ascii="Verdana" w:hAnsi="Verdana"/>
          <w:color w:val="auto"/>
          <w:sz w:val="18"/>
          <w:szCs w:val="18"/>
        </w:rPr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</w:tabs>
        <w:spacing w:lineRule="auto" w:line="36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A szerződés tárgya</w:t>
      </w:r>
    </w:p>
    <w:p>
      <w:pPr>
        <w:pStyle w:val="Normal"/>
        <w:spacing w:lineRule="auto" w:line="360"/>
        <w:ind w:left="360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A Megbízó megbízza Megbízottat, hogy részére </w:t>
      </w:r>
      <w:bookmarkStart w:id="1" w:name="__DdeLink__58891_1703317146"/>
      <w:r>
        <w:rPr>
          <w:rFonts w:cs="Verdana" w:ascii="Verdana" w:hAnsi="Verdana"/>
          <w:b/>
          <w:color w:val="auto"/>
          <w:sz w:val="18"/>
          <w:szCs w:val="18"/>
        </w:rPr>
        <w:t>Információbiztonsági felelősi</w:t>
      </w:r>
      <w:bookmarkEnd w:id="1"/>
      <w:r>
        <w:rPr>
          <w:rFonts w:cs="Verdana" w:ascii="Verdana" w:hAnsi="Verdana"/>
          <w:b/>
          <w:color w:val="auto"/>
          <w:sz w:val="18"/>
          <w:szCs w:val="18"/>
        </w:rPr>
        <w:t xml:space="preserve"> szolgáltatást </w:t>
      </w:r>
      <w:r>
        <w:rPr>
          <w:rFonts w:cs="Verdana" w:ascii="Verdana" w:hAnsi="Verdana"/>
          <w:color w:val="auto"/>
          <w:sz w:val="18"/>
          <w:szCs w:val="18"/>
        </w:rPr>
        <w:t>nyújtson. A Megbízott a megbízást elfogadja, valamint Megbízó vállalja a megbízás szerinti szolgáltatás ellenértékének kifizetését a szerződés 6. pontjában részletezett feltételek szerint.</w:t>
      </w:r>
    </w:p>
    <w:p>
      <w:pPr>
        <w:pStyle w:val="Normal"/>
        <w:spacing w:lineRule="auto" w:line="360"/>
        <w:ind w:left="360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Megbízott az </w:t>
      </w:r>
      <w:r>
        <w:rPr>
          <w:rFonts w:cs="Verdana" w:ascii="Verdana" w:hAnsi="Verdana"/>
          <w:b/>
          <w:color w:val="auto"/>
          <w:sz w:val="18"/>
          <w:szCs w:val="18"/>
        </w:rPr>
        <w:t xml:space="preserve">Információbiztonsági felelősi szolgáltatás </w:t>
      </w:r>
      <w:r>
        <w:rPr>
          <w:rFonts w:cs="Verdana" w:ascii="Verdana" w:hAnsi="Verdana"/>
          <w:color w:val="auto"/>
          <w:sz w:val="18"/>
          <w:szCs w:val="18"/>
        </w:rPr>
        <w:t xml:space="preserve">keretében ellátja az állami és önkormányzati szervek elektronikus információbiztonságáról szóló 2013. évi L. törvény (továbbiakban Ibtv) szerinti informatikabiztonsági felelősi feladatokat a 2.2. pontban részletezett feladatok alapján. </w:t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</w:tabs>
        <w:spacing w:lineRule="auto" w:line="36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Megbízott jogai és kötelezettségei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Megbízott kötelessége az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4. pontban meghatározott határidők szerinti elvégzése</w:t>
      </w:r>
      <w:bookmarkStart w:id="2" w:name="OLE_LINK2"/>
      <w:bookmarkStart w:id="3" w:name="OLE_LINK1"/>
      <w:bookmarkEnd w:id="2"/>
      <w:bookmarkEnd w:id="3"/>
      <w:r>
        <w:rPr>
          <w:rFonts w:cs="Verdana" w:ascii="Verdana" w:hAnsi="Verdana"/>
          <w:color w:val="auto"/>
          <w:sz w:val="18"/>
          <w:szCs w:val="18"/>
        </w:rPr>
        <w:t xml:space="preserve">. 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Megbízott az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körében ellátja az Ibtv szerinti információ biztonságért felelős személy feladatait, melynek keretében: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1578" w:leader="none"/>
          <w:tab w:val="left" w:pos="1629" w:leader="none"/>
        </w:tabs>
        <w:suppressAutoHyphens w:val="true"/>
        <w:overflowPunct w:val="false"/>
        <w:bidi w:val="0"/>
        <w:spacing w:lineRule="auto" w:line="360" w:before="0" w:after="120"/>
        <w:ind w:left="850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– </w:t>
      </w:r>
      <w:r>
        <w:rPr>
          <w:rFonts w:cs="Verdana" w:ascii="Verdana" w:hAnsi="Verdana"/>
          <w:color w:val="auto"/>
          <w:sz w:val="18"/>
          <w:szCs w:val="18"/>
        </w:rPr>
        <w:t xml:space="preserve">Folyamatosan aktualizálja az informatikabiztonsági szabályzatot </w:t>
      </w:r>
      <w:r>
        <w:rPr>
          <w:rFonts w:eastAsia="Calibri" w:cs="Verdana" w:ascii="Verdana" w:hAnsi="Verdana"/>
          <w:color w:val="auto"/>
          <w:sz w:val="18"/>
          <w:szCs w:val="18"/>
        </w:rPr>
        <w:t>(a Megbízó által jelzett változások alapján)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1578" w:leader="none"/>
          <w:tab w:val="left" w:pos="1629" w:leader="none"/>
        </w:tabs>
        <w:suppressAutoHyphens w:val="true"/>
        <w:overflowPunct w:val="false"/>
        <w:bidi w:val="0"/>
        <w:spacing w:lineRule="auto" w:line="360" w:before="0" w:after="120"/>
        <w:ind w:left="850" w:right="0" w:hanging="0"/>
        <w:jc w:val="both"/>
        <w:rPr>
          <w:color w:val="00000A"/>
        </w:rPr>
      </w:pPr>
      <w:r>
        <w:rPr>
          <w:rFonts w:eastAsia="Calibri" w:cs="Verdana" w:ascii="Verdana" w:hAnsi="Verdana"/>
          <w:color w:val="auto"/>
          <w:sz w:val="18"/>
          <w:szCs w:val="18"/>
        </w:rPr>
        <w:t xml:space="preserve">– </w:t>
      </w:r>
      <w:r>
        <w:rPr>
          <w:rFonts w:eastAsia="Calibri" w:cs="Verdana" w:ascii="Verdana" w:hAnsi="Verdana"/>
          <w:color w:val="auto"/>
          <w:sz w:val="18"/>
          <w:szCs w:val="18"/>
        </w:rPr>
        <w:t xml:space="preserve">Évenkénti egyszeri belső audit </w:t>
      </w:r>
      <w:r>
        <w:rPr>
          <w:rFonts w:cs="Verdana" w:ascii="Verdana" w:hAnsi="Verdana"/>
          <w:color w:val="auto"/>
          <w:sz w:val="18"/>
          <w:szCs w:val="18"/>
        </w:rPr>
        <w:t xml:space="preserve">megtartása </w:t>
      </w:r>
      <w:r>
        <w:rPr>
          <w:rFonts w:eastAsia="Calibri" w:cs="Verdana" w:ascii="Verdana" w:hAnsi="Verdana"/>
          <w:color w:val="auto"/>
          <w:sz w:val="18"/>
          <w:szCs w:val="18"/>
        </w:rPr>
        <w:t>(helyszíni kiszállással)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1578" w:leader="none"/>
          <w:tab w:val="left" w:pos="1629" w:leader="none"/>
        </w:tabs>
        <w:suppressAutoHyphens w:val="true"/>
        <w:overflowPunct w:val="false"/>
        <w:bidi w:val="0"/>
        <w:spacing w:lineRule="auto" w:line="360" w:before="0" w:after="120"/>
        <w:ind w:left="850" w:right="0" w:hanging="0"/>
        <w:jc w:val="both"/>
        <w:rPr>
          <w:color w:val="00000A"/>
        </w:rPr>
      </w:pPr>
      <w:r>
        <w:rPr>
          <w:rFonts w:eastAsia="Calibri" w:cs="Verdana" w:ascii="Verdana" w:hAnsi="Verdana"/>
          <w:color w:val="auto"/>
          <w:sz w:val="18"/>
          <w:szCs w:val="18"/>
        </w:rPr>
        <w:t xml:space="preserve">– </w:t>
      </w:r>
      <w:r>
        <w:rPr>
          <w:rFonts w:eastAsia="Calibri" w:cs="Verdana" w:ascii="Verdana" w:hAnsi="Verdana"/>
          <w:color w:val="auto"/>
          <w:sz w:val="18"/>
          <w:szCs w:val="18"/>
        </w:rPr>
        <w:t xml:space="preserve">Évenkénti egyszeri oktatás </w:t>
      </w:r>
      <w:r>
        <w:rPr>
          <w:rFonts w:cs="Verdana" w:ascii="Verdana" w:hAnsi="Verdana"/>
          <w:color w:val="auto"/>
          <w:sz w:val="18"/>
          <w:szCs w:val="18"/>
        </w:rPr>
        <w:t xml:space="preserve">megtartása </w:t>
      </w:r>
      <w:r>
        <w:rPr>
          <w:rFonts w:eastAsia="Calibri" w:cs="Verdana" w:ascii="Verdana" w:hAnsi="Verdana"/>
          <w:color w:val="auto"/>
          <w:sz w:val="18"/>
          <w:szCs w:val="18"/>
        </w:rPr>
        <w:t>(helyszíni kiszállással)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1578" w:leader="none"/>
          <w:tab w:val="left" w:pos="1629" w:leader="none"/>
        </w:tabs>
        <w:suppressAutoHyphens w:val="true"/>
        <w:overflowPunct w:val="false"/>
        <w:bidi w:val="0"/>
        <w:spacing w:lineRule="auto" w:line="360" w:before="0" w:after="120"/>
        <w:ind w:left="850" w:right="0" w:hanging="0"/>
        <w:jc w:val="both"/>
        <w:rPr>
          <w:color w:val="00000A"/>
        </w:rPr>
      </w:pPr>
      <w:r>
        <w:rPr>
          <w:rFonts w:eastAsia="Calibri" w:cs="Verdana" w:ascii="Verdana" w:hAnsi="Verdana"/>
          <w:color w:val="auto"/>
          <w:sz w:val="18"/>
          <w:szCs w:val="18"/>
        </w:rPr>
        <w:t xml:space="preserve">– </w:t>
      </w:r>
      <w:r>
        <w:rPr>
          <w:rFonts w:eastAsia="Calibri" w:cs="Verdana" w:ascii="Verdana" w:hAnsi="Verdana"/>
          <w:color w:val="auto"/>
          <w:sz w:val="18"/>
          <w:szCs w:val="18"/>
        </w:rPr>
        <w:t>Az informatikabiztonsági rendszer fenntartásához szükséges folyamatos szakmai tanácsadás, támogatás nyújtása (telefonon, e-mailben)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Megbízott jogosult szolgáltatásának ellátásához harmadik személy közreműködő segítségét igénybe venni. Megbízott saját belátása szerint jogosult kijelölni azt a személyt, aki a jelen megbízás teljesítése során képviseli őt és akinek a nevét a Megbízó jogosult az adatvédelemmel kapcsolatos dokumentumaiban Információbiztonsági felelősként feltüntetni. A Megbízott az Információbiztonsági felelősi szolgáltatás teljesítése körében a feladatai ellátásával kapcsolatban nem utasítható és szankcióval nem sújtható.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Megbízott vállalja, hogy lehetőségeihez mérten a szervezet működését nem akadályozza. A Megbízott és a Megbízott alkalmazottai/alvállalkozói/megbízottjai által Megbízónak okozott károkért a Megbízott vagy a Megbízott alvállalkozója/megbízottja a megbízás teljes időszakára vonatkozóan legfeljebb mindösszesen az 5.1. pont szerinti 6 havi megbízási díj összegéig tartozik felelősséggel.  (A Felek az 5. pontban rögzített megbízási díjat a Megbízott kártérítési felelősségének jelen pont szerinti korlátozására tekintettel állapították meg.) Amennyiben a károkozás Megbízott alvállalkozójának/megbízottjának felróható magatartásból ered, abban az esetben Megbízó köteles közvetlenül az alvállalkozóval rendezni jogvitáját a fentiek alapján. A Megbízottat és alkalmazottját/alvállalkozóját/megbízottját nem terheli felelősség az olyan károkért, amelyek abból erednek, hogy a Megbízó vagy alkalmazottai nem tartják be a Megbízott adatkezeléssel és adatbiztonsággal kapcsolatos útmutatásait, tanácsait vagy ha a Megbízott által javasolt, a tudomány és technológia állására, a megvalósítás költségeire, az adatkezelés jellegére, hatókörére, körülményeire és céljaira, valamint a kockázatokra tekintettel megfelelő technikai és szervezési intézkedések ellenére következik be adatvédelmi incidens.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eastAsia="Calibri" w:cs="Verdana" w:ascii="Verdana" w:hAnsi="Verdana"/>
          <w:color w:val="auto"/>
          <w:sz w:val="18"/>
          <w:szCs w:val="18"/>
        </w:rPr>
        <w:t xml:space="preserve">Megbízott vállalja, hogy a </w:t>
      </w:r>
      <w:r>
        <w:rPr>
          <w:rFonts w:eastAsia="Calibri" w:cs="Verdana" w:ascii="Verdana" w:hAnsi="Verdana"/>
          <w:b/>
          <w:bCs/>
          <w:color w:val="auto"/>
          <w:sz w:val="18"/>
          <w:szCs w:val="18"/>
        </w:rPr>
        <w:t>Információbiztonsági felelősi szolgáltatás</w:t>
      </w:r>
      <w:r>
        <w:rPr>
          <w:rFonts w:eastAsia="Calibri" w:cs="Verdana" w:ascii="Verdana" w:hAnsi="Verdana"/>
          <w:color w:val="auto"/>
          <w:sz w:val="18"/>
          <w:szCs w:val="18"/>
        </w:rPr>
        <w:t xml:space="preserve"> nyújtása során alkalmaz olyan büntetlen előéletű munkavállalót, aki rendelkezik az Ibtv. által előírt képzettséggel vagy szakmai gyakorlattal. Megbízott hozzájárul ahhoz, hogy a </w:t>
      </w:r>
      <w:r>
        <w:rPr>
          <w:rFonts w:eastAsia="Calibri" w:cs="Verdana" w:ascii="Verdana" w:hAnsi="Verdana"/>
          <w:b/>
          <w:bCs/>
          <w:color w:val="auto"/>
          <w:sz w:val="18"/>
          <w:szCs w:val="18"/>
        </w:rPr>
        <w:t>Információbiztonsági felelősi szolgáltatás</w:t>
      </w:r>
      <w:r>
        <w:rPr>
          <w:rFonts w:eastAsia="Calibri" w:cs="Verdana" w:ascii="Verdana" w:hAnsi="Verdana"/>
          <w:color w:val="auto"/>
          <w:sz w:val="18"/>
          <w:szCs w:val="18"/>
        </w:rPr>
        <w:t xml:space="preserve"> nyújtására dedikált munkavállalóját Megbízó információbiztonsági felelősként az illetékes hatóságnál bejelentse. 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Megbízott a megbízás szerinti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szolgáltatást</w:t>
      </w:r>
      <w:r>
        <w:rPr>
          <w:rFonts w:cs="Verdana" w:ascii="Verdana" w:hAnsi="Verdana"/>
          <w:color w:val="auto"/>
          <w:sz w:val="18"/>
          <w:szCs w:val="18"/>
        </w:rPr>
        <w:t xml:space="preserve"> a Megbízó által részére átadott információk és adatok, valamint a hatályos jogszabályoknak és a szakmai szokásoknak megfelelően teljesíti. </w:t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</w:tabs>
        <w:spacing w:lineRule="auto" w:line="36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Megbízó jogai és kötelezettségei</w:t>
      </w:r>
    </w:p>
    <w:p>
      <w:pPr>
        <w:pStyle w:val="Normal"/>
        <w:numPr>
          <w:ilvl w:val="1"/>
          <w:numId w:val="1"/>
        </w:numPr>
        <w:tabs>
          <w:tab w:val="left" w:pos="789" w:leader="none"/>
          <w:tab w:val="left" w:pos="840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Megbízó a telephelyein biztosítja a Megbízott jelen szerződés 2.2. pont szerinti tevékenységeinek ellátásához szükséges feltételeket, valamint a feladatellátáshoz szükséges információkat a Megbízott rendelkezésre bocsájtja. A Megbízó köteles a Megbízott számára biztosítani azokat a forrásokat, amelyek a jelen szerződés szerinti feladatok végrehajtásához, a személyes adatokhoz és az adatkezelési műveletekhez való hozzáféréshez szükségesek. Megbízott a Megbízó által nem, késedelmesen, hiányosan vagy tévesen közölt információk következményeiért nem vállal felelősséget.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Megbízó vállalja, hogy amennyiben az információs rendszereiben, vagy a személyes adatok kezelésében változás történik, továbbá bármilyen információbiztonsági vagy adatkezelési incidens tudomására jut, arról haladéktalanul, de legkésőbb 2 munkanapon belül értesíti Megbízottat. Az értesítés késedelméből eredő jogkövetkezményekért a Megbízottat nem terheli felelősség.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Megbízó vállalja a szerződéskötéstől számított havi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szolgáltatási</w:t>
      </w:r>
      <w:r>
        <w:rPr>
          <w:rFonts w:cs="Verdana" w:ascii="Verdana" w:hAnsi="Verdana"/>
          <w:color w:val="auto"/>
          <w:sz w:val="18"/>
          <w:szCs w:val="18"/>
        </w:rPr>
        <w:t xml:space="preserve"> díj kifizetését. Megbízó köteles a 6. pontban részletezett ütemezéssel az 5. pontban meghatározott összegeket átutalni Megbízott részére.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Megbízó köteles Megbízottnak a szerződéses kötelezettségei biztosítása érdekében a szükséges műszaki felvilágosításokat megadni.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Megbízó elismeri, hogy Megbízott jogosult a jelen szerződés 2.5. pontja alapján lejelentett információbiztonsági felelőst lecserélni. Megbízó vállalja, hogy ilyen esetben a változásokat 30 napon belül az illetékes hatóságnak bejelenti.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A Megbízó a Megbízott alkalmazottját, almegbízottját vagy alvállalkozóját a Megbízottat megkerülve, közvetlenül nem bízhatja meg az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körébe tartozó vagy azzal összefüggő jogi, informatikai vagy adatbiztonsági tevékenység elvégzésével és nem is keresheti meg ilyen tartalmú ajánlattal. A jelen rendelkezés megszegése a szerződés azonnali hatályú felmondására okot adó súlyos szerződésszegésnek minősül és a Megbízott az 5.1. pont szerinti havi megbízási díj tízszeresének megfelelő összegű kötbérre jogosult.</w:t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  <w:tab w:val="left" w:pos="840" w:leader="none"/>
        </w:tabs>
        <w:spacing w:lineRule="auto" w:line="24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Szolgáltatás teljesítésének határideje</w:t>
      </w:r>
    </w:p>
    <w:p>
      <w:pPr>
        <w:pStyle w:val="Normal"/>
        <w:numPr>
          <w:ilvl w:val="1"/>
          <w:numId w:val="1"/>
        </w:numPr>
        <w:tabs>
          <w:tab w:val="left" w:pos="792" w:leader="none"/>
          <w:tab w:val="left" w:pos="840" w:leader="none"/>
        </w:tabs>
        <w:suppressAutoHyphens w:val="true"/>
        <w:spacing w:lineRule="auto" w:line="360" w:before="240" w:after="16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Megbízott az alábbi határidő szerint vállalja a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nyújtását:</w:t>
      </w:r>
    </w:p>
    <w:p>
      <w:pPr>
        <w:pStyle w:val="ListParagraph"/>
        <w:tabs>
          <w:tab w:val="left" w:pos="1200" w:leader="none"/>
        </w:tabs>
        <w:spacing w:lineRule="auto" w:line="360" w:before="120" w:after="120"/>
        <w:ind w:left="360" w:right="0" w:hanging="0"/>
        <w:contextualSpacing/>
        <w:jc w:val="both"/>
        <w:rPr>
          <w:color w:val="auto"/>
        </w:rPr>
      </w:pP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kezdési időpontja: </w:t>
        <w:tab/>
      </w:r>
      <w:bookmarkStart w:id="4" w:name="__DdeLink__12075_1182863787"/>
      <w:bookmarkStart w:id="5" w:name="__DdeLink__3347_47754020"/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2022. </w:t>
      </w:r>
      <w:bookmarkEnd w:id="4"/>
      <w:bookmarkEnd w:id="5"/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>szeptember</w:t>
      </w: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 1</w:t>
      </w: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>.</w:t>
      </w:r>
    </w:p>
    <w:p>
      <w:pPr>
        <w:pStyle w:val="Normal"/>
        <w:tabs>
          <w:tab w:val="left" w:pos="1548" w:leader="none"/>
        </w:tabs>
        <w:spacing w:lineRule="auto" w:line="360" w:before="120" w:after="120"/>
        <w:ind w:left="708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ab/>
        <w:t>Szerződő felek jelen szerződést határozott két év időtartamra kötik.</w:t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  <w:tab w:val="left" w:pos="840" w:leader="none"/>
        </w:tabs>
        <w:spacing w:lineRule="auto" w:line="24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Megbízási díj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240" w:after="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díja: </w:t>
        <w:tab/>
        <w:tab/>
        <w:tab/>
      </w:r>
      <w:r>
        <w:rPr>
          <w:rFonts w:cs="Verdana" w:ascii="Verdana" w:hAnsi="Verdana"/>
          <w:color w:val="auto"/>
          <w:sz w:val="18"/>
          <w:szCs w:val="18"/>
        </w:rPr>
        <w:t>25.000</w:t>
      </w:r>
      <w:r>
        <w:rPr>
          <w:rFonts w:cs="Verdana" w:ascii="Verdana" w:hAnsi="Verdana"/>
          <w:color w:val="auto"/>
          <w:sz w:val="18"/>
          <w:szCs w:val="18"/>
        </w:rPr>
        <w:t xml:space="preserve"> Ft + ÁFA / hó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/>
        <w:ind w:left="789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(azaz </w:t>
      </w:r>
      <w:r>
        <w:rPr>
          <w:rFonts w:cs="Verdana" w:ascii="Verdana" w:hAnsi="Verdana"/>
          <w:color w:val="auto"/>
          <w:sz w:val="18"/>
          <w:szCs w:val="18"/>
        </w:rPr>
        <w:t>huszonötezer</w:t>
      </w:r>
      <w:r>
        <w:rPr>
          <w:rFonts w:cs="Verdana" w:ascii="Verdana" w:hAnsi="Verdana"/>
          <w:color w:val="auto"/>
          <w:sz w:val="18"/>
          <w:szCs w:val="18"/>
        </w:rPr>
        <w:t xml:space="preserve"> forint plusz áfa havonta)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/>
        <w:ind w:left="789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Az Információbiztonsági felelősi szolgáltatás díja összesen (éves) </w:t>
      </w:r>
      <w:r>
        <w:rPr>
          <w:rFonts w:cs="Verdana" w:ascii="Verdana" w:hAnsi="Verdana"/>
          <w:color w:val="auto"/>
          <w:sz w:val="18"/>
          <w:szCs w:val="18"/>
        </w:rPr>
        <w:t>20</w:t>
      </w:r>
      <w:r>
        <w:rPr>
          <w:rFonts w:cs="Verdana" w:ascii="Verdana" w:hAnsi="Verdana"/>
          <w:color w:val="auto"/>
          <w:sz w:val="18"/>
          <w:szCs w:val="18"/>
        </w:rPr>
        <w:t xml:space="preserve"> munkaórát és </w:t>
      </w:r>
      <w:r>
        <w:rPr>
          <w:rFonts w:cs="Verdana" w:ascii="Verdana" w:hAnsi="Verdana"/>
          <w:color w:val="auto"/>
          <w:sz w:val="18"/>
          <w:szCs w:val="18"/>
        </w:rPr>
        <w:t>1</w:t>
      </w:r>
      <w:r>
        <w:rPr>
          <w:rFonts w:cs="Verdana" w:ascii="Verdana" w:hAnsi="Verdana"/>
          <w:color w:val="auto"/>
          <w:sz w:val="18"/>
          <w:szCs w:val="18"/>
        </w:rPr>
        <w:t xml:space="preserve"> kiszállási díjat tartalmaz. 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24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b/>
          <w:color w:val="auto"/>
          <w:sz w:val="18"/>
          <w:szCs w:val="18"/>
        </w:rPr>
        <w:t>Általános információk: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89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Amennyiben a szerződés teljesítése során Megbízó részéről a fentiektől (2.2-es pontban szereplőktől) eltérő (extra) igények jelentkeznek és emiatt a fenti munkaóraszámok és/vagy kiszállási számok meghaladásra kerülnek, úgy Megbízott jogosult szakértői óradíj és/vagy kiszállási díj kiszámlázására. 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89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Kedvezményes szakértői óradíj: </w:t>
        <w:tab/>
        <w:tab/>
        <w:tab/>
        <w:tab/>
        <w:tab/>
        <w:t>20.000 Ft + ÁFA /óra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89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(azaz húszezer forint plusz áfa)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89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Kedvezményes kiszállási díj: </w:t>
        <w:tab/>
        <w:tab/>
        <w:tab/>
        <w:tab/>
        <w:tab/>
        <w:t>5.000 Ft + 180 Ft/km + ÁFA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89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(azaz ötezer forint plusz száznyolcvan forint kilométerenként plusz áfa)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89" w:right="0" w:hanging="0"/>
        <w:jc w:val="both"/>
        <w:rPr>
          <w:color w:val="00000A"/>
        </w:rPr>
      </w:pPr>
      <w:r>
        <w:rPr>
          <w:rFonts w:eastAsia="Calibri" w:cs="Verdana" w:ascii="Verdana" w:hAnsi="Verdana"/>
          <w:color w:val="auto"/>
          <w:sz w:val="18"/>
          <w:szCs w:val="18"/>
        </w:rPr>
        <w:t>A kiszállási díjat a budapes</w:t>
      </w:r>
      <w:r>
        <w:rPr>
          <w:rFonts w:cs="Verdana" w:ascii="Verdana" w:hAnsi="Verdana"/>
          <w:color w:val="auto"/>
          <w:sz w:val="18"/>
          <w:szCs w:val="18"/>
        </w:rPr>
        <w:t>ti 0-s kilométerkőtől számoljuk az út teljes hosszára (oda és visszaút).</w:t>
      </w:r>
    </w:p>
    <w:p>
      <w:pPr>
        <w:pStyle w:val="Normal"/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89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Megbízott jogosult a szolgáltatási díjait (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díja, a Kedvezményes szakértői óradíj, Kedvezményes kiszállási díj) összegét minden év január 01-ét követően évente egyszer a KSH fogyasztói árindex függvényében emelni.</w:t>
        <w:tab/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  <w:tab w:val="left" w:pos="840" w:leader="none"/>
        </w:tabs>
        <w:spacing w:lineRule="auto" w:line="36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Fizetési feltételek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Megbízott az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havi díjait negyedévente, midig az adott negyedév végén számlázza. A fizetési határidő 8 nap.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Megbízott jogosult negyedéves bontásban a plusz órákat és kiszállásokat kiszámlázni. Megbízó a Megbízott által teljesítésigazolásként megküldött, a negyedéves keret fölött teljesített kiszállások számát és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óraszámát tartalmazó e-mailt válasz e-mailben visszaigazolja. A visszaigazolást a Megbízó kizárólag a szolgáltatás szerződésszegéssel érintett része tekintetében tagadhatja meg, a szolgáltatás szerződésszerűen teljesített részét minden esetben köteles visszaigazolni. Az e-mailben visszaigazolt teljesítésigazolás alapján Megbízott jogosult számlát benyújtani.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kifizetés módja Megbízott számlán megjelölt bankszámlájára történő átutalás.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auto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Amennyiben </w:t>
      </w:r>
      <w:r>
        <w:rPr>
          <w:rFonts w:cs="Verdana" w:ascii="Verdana" w:hAnsi="Verdana"/>
          <w:color w:val="auto"/>
          <w:sz w:val="18"/>
          <w:szCs w:val="18"/>
        </w:rPr>
        <w:t>Megbízó fizetési kötelezettségét az első fizetési felszólítást követő 8 napon belül sem teljesíti, Megbízott jogosult késedelmi kamat felszámítására. Késedelmes fizetés esetén a mindenkori jegybanki alapkamat + 8% mértékű késedelmi kamat kerül felszámításra.</w:t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</w:tabs>
        <w:spacing w:lineRule="auto" w:line="36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A szerződés hatálya, megszüntetése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Megbízó és Megbízott a jelen megállapodást a 4.1. pontban rögzített határozott időszakra köti.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Felek rögzítik, hogy amennyiben legkésőbb a határozott időtartam lejártát megelőző 30. napig egyik fél sem tájékoztatja írásban arról a másik felet, hogy jelen szerződés lejártával annak fenntartását nem kívánja, úgy jelen szerződés további 1 év határozott időtartamra automatikusan </w:t>
      </w:r>
      <w:bookmarkStart w:id="6" w:name="__DdeLink__2330_1806410908"/>
      <w:r>
        <w:rPr>
          <w:rFonts w:cs="Verdana" w:ascii="Verdana" w:hAnsi="Verdana"/>
          <w:color w:val="auto"/>
          <w:sz w:val="18"/>
          <w:szCs w:val="18"/>
        </w:rPr>
        <w:t>(évről évre)</w:t>
      </w:r>
      <w:bookmarkEnd w:id="6"/>
      <w:r>
        <w:rPr>
          <w:rFonts w:cs="Verdana" w:ascii="Verdana" w:hAnsi="Verdana"/>
          <w:color w:val="auto"/>
          <w:sz w:val="18"/>
          <w:szCs w:val="18"/>
        </w:rPr>
        <w:t xml:space="preserve"> meghosszabbodik a jelen szerződésben rögzített feltételek mellett.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jelen megállapodás azonnali hatályú felmondására kizárólag a másik fél súlyos szerződésszegése esetén kerülhet sor, a másik félnek címzett írásbeli nyilatkozattal.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Megbízott súlyos szerződésszegésének minősül, ha a jelen szerződés szerinti kötelezettségét a Megbízó írásbeli felszólításában rögzített határidőn belül sem teljesíti és szerződésszegésével a Megbízónak közvetlen vagyoni kárt okoz.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Megbízó súlyos szerződésszegésének minősül különösen, ha a jelen szerződés szerinti kötelezettségeit nem teljesíti, valamint a megbízás szerinti szolgáltatás teljesítését a Megbízott számára ellehetetleníti.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FF0000"/>
        </w:rPr>
      </w:pPr>
      <w:r>
        <w:rPr>
          <w:rFonts w:cs="Verdana" w:ascii="Verdana" w:hAnsi="Verdana"/>
          <w:color w:val="auto"/>
          <w:sz w:val="18"/>
          <w:szCs w:val="18"/>
        </w:rPr>
        <w:t>A szerződés rendes felmondással 30 napos határidővel szüntethető meg. Megbízó tudomásul veszi, hogy amennyiben a szerződést a határozott időtartam lejárta előtt rendes felmondással felmondja, úgy Megbízottnak 300.000 Ft-ot fizet számla ellenében a szerződés megszűnésétől számított 30 napos fizetési határidővel.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Megbízott súlyos szerződésszegése esetén is jogosult a szolgáltatás szerződésszerű teljesítésével arányos díjra, a Megbízó annak visszatartására károkozás esetén sem jogosult.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Amennyiben a Megbízott azért nem tudja a jelen megbízás szerinti szolgáltatást teljesíteni, mert a Megbízó a szolgáltatás teljesítését neki felróhatóan ellehetetleníti (például nem adja át a Megbízott által kért információkat stb.), a Megbízott az 5.1. pont szerinti megbízási díj tízszeresének megfelelő mértékű meghiúsulási kötbérre jogosult. </w:t>
      </w:r>
    </w:p>
    <w:p>
      <w:pPr>
        <w:pStyle w:val="Normal"/>
        <w:numPr>
          <w:ilvl w:val="1"/>
          <w:numId w:val="1"/>
        </w:numPr>
        <w:tabs>
          <w:tab w:val="left" w:pos="1578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Megbízott a szerződésszegéssel okozott kár esetére kizárja a vezető tisztségviselője kártérítési felelősségét, a jelen szerződés megszegéséért kizárólag a szerződésben félként megjelölt gazdasági társaság a saját vagyonával tartozik felelősséggel.</w:t>
      </w:r>
    </w:p>
    <w:p>
      <w:pPr>
        <w:pStyle w:val="Normal"/>
        <w:numPr>
          <w:ilvl w:val="1"/>
          <w:numId w:val="1"/>
        </w:numPr>
        <w:tabs>
          <w:tab w:val="left" w:pos="900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Jelen szerződés bármilyen okból történő megszűnése esetén a jelen szerződés alapján lejelentett információbiztonsági felelős automatikusan visszavonásra kerül. Megbízó vállalja, hogy ilyen esetben a változásokat 30 napon belül az illetékes hatóságnak bejelenti.</w:t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</w:tabs>
        <w:spacing w:lineRule="auto" w:line="36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Titoktartás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auto"/>
        </w:rPr>
      </w:pPr>
      <w:r>
        <w:rPr>
          <w:rFonts w:cs="Verdana" w:ascii="Verdana" w:hAnsi="Verdana"/>
          <w:color w:val="auto"/>
          <w:sz w:val="18"/>
          <w:szCs w:val="18"/>
        </w:rPr>
        <w:t>A Megbízott adataira, termékeire, szolgáltatásaira, szabályzataira, jelentéseire, szolgáltatási módszertanára, szolgáltatást nyújtó szakértőkre, alkalmazottakra, egyéb közreműködőkre és azok kompetenciájára, az árakra, szerződésekre vonatkozó és a Megbízott tevékenységével összefüggő valamennyi információ Megbízott üzleti titka. A jelen megállapodás időtartama alatt és azután mindenkor a Felek egymás üzleti titkait bizalmas alapon kezelik, semmilyen – a szolgáltatás teljesítése során a birtokukba jutott – információt harmadik fél számára nem szolgáltathatnak ki, kivéve a másik fél előzetes írásbeli engedélyével, mely alól kivételt képez a közérdekből nyilvános adat.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A Megbízott vállalja, hogy a jelen szerződés szerinti </w:t>
      </w:r>
      <w:r>
        <w:rPr>
          <w:rFonts w:cs="Verdana" w:ascii="Verdana" w:hAnsi="Verdana"/>
          <w:b/>
          <w:color w:val="auto"/>
          <w:sz w:val="18"/>
          <w:szCs w:val="18"/>
        </w:rPr>
        <w:t>Információbiztonsági felelősi szolgáltatás</w:t>
      </w:r>
      <w:r>
        <w:rPr>
          <w:rFonts w:cs="Verdana" w:ascii="Verdana" w:hAnsi="Verdana"/>
          <w:color w:val="auto"/>
          <w:sz w:val="18"/>
          <w:szCs w:val="18"/>
        </w:rPr>
        <w:t xml:space="preserve"> teljesítésével összefüggésben tudomására jutó személyes adatokat bizalmasan, kizárólag a szerződés teljesítésével összefüggésben és a www.wbinformatika.hu weboldalon elérhető adatvédelmi tájékoztatójának megfelelően használja fel.</w:t>
      </w:r>
    </w:p>
    <w:p>
      <w:pPr>
        <w:pStyle w:val="Cmsor1"/>
        <w:numPr>
          <w:ilvl w:val="0"/>
          <w:numId w:val="1"/>
        </w:numPr>
        <w:tabs>
          <w:tab w:val="left" w:pos="0" w:leader="none"/>
          <w:tab w:val="left" w:pos="360" w:leader="none"/>
        </w:tabs>
        <w:spacing w:lineRule="auto" w:line="360" w:before="0" w:after="120"/>
        <w:ind w:left="360" w:right="0" w:hanging="0"/>
        <w:rPr>
          <w:color w:val="00000A"/>
        </w:rPr>
      </w:pPr>
      <w:r>
        <w:rPr>
          <w:rFonts w:cs="Verdana" w:ascii="Verdana" w:hAnsi="Verdana"/>
          <w:color w:val="auto"/>
          <w:sz w:val="20"/>
          <w:szCs w:val="20"/>
          <w:u w:val="single"/>
        </w:rPr>
        <w:t>Vegyes rendelkezések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felek kölcsönösen elfogadják azt a kikötést, hogy egyik fél sem felelős a vis major eseteiből származó következményekért. Vis major alatt értendők természeti csapások, háborús és polgárháborús zavargások, terrorcselekmények vagy a felek szerződésszerű teljesítését befolyásoló egyéb olyan körülmény, amelyeket a hivatkozó fél a legnagyobb elővigyázattal sem tud elkerülni.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Felek kötelesek egymást minden olyan körülményről haladéktalanul értesíteni, amely a jelen szerződésben rögzített feladatok teljesítésének eredményességét vagy határidőre történő elvégzését veszélyezteti vagy gátolja. A Felek az értesítés elmulasztásából vagy késedelmes teljesítéséből eredő károkat kötelesek a másik Félnek megtéríteni.</w:t>
      </w:r>
    </w:p>
    <w:p>
      <w:pPr>
        <w:pStyle w:val="Normal"/>
        <w:numPr>
          <w:ilvl w:val="1"/>
          <w:numId w:val="1"/>
        </w:numPr>
        <w:tabs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Felek köteles egymás jó hírnevét tiszteletben tartani.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A jelen megállapodás bármely rendelkezésének érvénytelensége vagy végrehajthatatlansága nem befolyásolja a többi rendelkezés érvényességét vagy végrehajthatóságát, s a jelen megállapodást ilyen esetben az érvénytelen vagy végrehajthatatlan rendelkezések figyelembe vétele nélkül kell értelmezni és teljesíteni.</w:t>
      </w:r>
    </w:p>
    <w:p>
      <w:pPr>
        <w:pStyle w:val="Normal"/>
        <w:numPr>
          <w:ilvl w:val="1"/>
          <w:numId w:val="1"/>
        </w:numPr>
        <w:tabs>
          <w:tab w:val="left" w:pos="1578" w:leader="none"/>
          <w:tab w:val="left" w:pos="1629" w:leader="none"/>
        </w:tabs>
        <w:suppressAutoHyphens w:val="true"/>
        <w:spacing w:lineRule="auto" w:line="360" w:before="0" w:after="120"/>
        <w:ind w:left="792" w:right="0" w:hanging="432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A jelen együttműködési megállapodást a felek érvényesen csak írásban, cégszerűen, illetve teljes bizonyító erejű okiratba foglalt nyilatkozattal módosíthatják és szüntethetik meg. A felek kötelezettséget vállalnak arra, hogy a jelen megállapodásból származó jogvitájukat igyekeznek békés úton, egyeztető tárgyalások révén megoldani. </w:t>
      </w:r>
    </w:p>
    <w:p>
      <w:pPr>
        <w:pStyle w:val="Normal"/>
        <w:numPr>
          <w:ilvl w:val="1"/>
          <w:numId w:val="1"/>
        </w:numPr>
        <w:tabs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Megbízott jelen szerződés aláírásával nyilatkozza, hogy a nemzeti vagyonról szóló 2011. évi CXCVI. tv. 3.§ (1) bekezdés 1. b) pontja szerint a Társaság átlátható szervezetnek minősül.</w:t>
      </w:r>
    </w:p>
    <w:p>
      <w:pPr>
        <w:pStyle w:val="Normal"/>
        <w:numPr>
          <w:ilvl w:val="1"/>
          <w:numId w:val="1"/>
        </w:numPr>
        <w:tabs>
          <w:tab w:val="left" w:pos="1629" w:leader="none"/>
        </w:tabs>
        <w:suppressAutoHyphens w:val="true"/>
        <w:spacing w:lineRule="auto" w:line="360" w:before="0" w:after="120"/>
        <w:jc w:val="both"/>
        <w:rPr>
          <w:color w:val="00000A"/>
        </w:rPr>
      </w:pPr>
      <w:r>
        <w:rPr>
          <w:rFonts w:eastAsia="SimSun" w:cs="Verdana" w:ascii="Verdana" w:hAnsi="Verdana"/>
          <w:color w:val="auto"/>
          <w:sz w:val="18"/>
          <w:szCs w:val="18"/>
          <w:lang w:val="hu-HU" w:eastAsia="zh-CN" w:bidi="hi-IN"/>
        </w:rPr>
        <w:t>Bármely nyilatkozat vagy értesítés érvényesen a Felek jelen szerződésben szereplő elérhetőségein tehető. A Felek haladéktalanul kötelesek egymást értesíteni arról, ha a az adataikban változás következik be.</w:t>
      </w:r>
    </w:p>
    <w:p>
      <w:pPr>
        <w:pStyle w:val="Normal"/>
        <w:tabs>
          <w:tab w:val="left" w:pos="1418" w:leader="none"/>
          <w:tab w:val="left" w:pos="4536" w:leader="none"/>
        </w:tabs>
        <w:spacing w:lineRule="auto" w:line="240" w:before="0" w:after="180"/>
        <w:ind w:left="0" w:right="0" w:hanging="0"/>
        <w:jc w:val="both"/>
        <w:rPr>
          <w:rFonts w:ascii="Verdana" w:hAnsi="Verdana" w:cs="Verdana"/>
          <w:color w:val="auto"/>
          <w:sz w:val="4"/>
          <w:szCs w:val="4"/>
        </w:rPr>
      </w:pPr>
      <w:r>
        <w:rPr>
          <w:rFonts w:cs="Verdana" w:ascii="Verdana" w:hAnsi="Verdana"/>
          <w:color w:val="auto"/>
          <w:sz w:val="4"/>
          <w:szCs w:val="4"/>
        </w:rPr>
      </w:r>
    </w:p>
    <w:p>
      <w:pPr>
        <w:pStyle w:val="Normal"/>
        <w:spacing w:lineRule="auto" w:line="360"/>
        <w:ind w:left="0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 xml:space="preserve">Felek a jelen szerződést elolvasás és közös értelmezés után, mint akaratukkal mindenben megegyezőt jóváhagyólag írják alá, azzal, hogy az itt nem szabályozott kérdésekben a Polgári Törvénykönyv (Ptk.) szabályai irányadóak. </w:t>
      </w:r>
    </w:p>
    <w:p>
      <w:pPr>
        <w:pStyle w:val="Normal"/>
        <w:spacing w:lineRule="auto" w:line="360"/>
        <w:ind w:left="0" w:right="0" w:hanging="0"/>
        <w:jc w:val="both"/>
        <w:rPr>
          <w:rFonts w:ascii="Verdana" w:hAnsi="Verdana" w:cs="Verdana"/>
          <w:color w:val="auto"/>
          <w:sz w:val="4"/>
          <w:szCs w:val="4"/>
        </w:rPr>
      </w:pPr>
      <w:r>
        <w:rPr>
          <w:rFonts w:cs="Verdana" w:ascii="Verdana" w:hAnsi="Verdana"/>
          <w:color w:val="auto"/>
          <w:sz w:val="4"/>
          <w:szCs w:val="4"/>
        </w:rPr>
      </w:r>
    </w:p>
    <w:p>
      <w:pPr>
        <w:pStyle w:val="Listaszerbekezds"/>
        <w:spacing w:lineRule="auto" w:line="360"/>
        <w:ind w:left="0" w:right="0" w:hanging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>Jelen szerződés 7 számozott oldalból és 9 pontból áll. A szerződés 2 db eredeti példányban készült.</w:t>
      </w:r>
    </w:p>
    <w:p>
      <w:pPr>
        <w:pStyle w:val="Listaszerbekezds"/>
        <w:spacing w:lineRule="auto" w:line="36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Listaszerbekezds"/>
        <w:spacing w:lineRule="auto" w:line="360"/>
        <w:ind w:left="0" w:right="0" w:hanging="0"/>
        <w:jc w:val="both"/>
        <w:rPr>
          <w:color w:val="auto"/>
        </w:rPr>
      </w:pPr>
      <w:r>
        <w:rPr>
          <w:rFonts w:cs="Verdana" w:ascii="Verdana" w:hAnsi="Verdana"/>
          <w:color w:val="auto"/>
          <w:sz w:val="18"/>
          <w:szCs w:val="18"/>
        </w:rPr>
        <w:t>Baracs</w:t>
      </w:r>
      <w:r>
        <w:rPr>
          <w:rFonts w:cs="Verdana" w:ascii="Verdana" w:hAnsi="Verdana"/>
          <w:color w:val="auto"/>
          <w:sz w:val="18"/>
          <w:szCs w:val="18"/>
        </w:rPr>
        <w:t xml:space="preserve">, </w:t>
      </w:r>
      <w:bookmarkStart w:id="7" w:name="__DdeLink__12075_11828637878"/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>202</w:t>
      </w:r>
      <w:bookmarkEnd w:id="7"/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 xml:space="preserve">2. </w:t>
      </w: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>július 21</w:t>
      </w:r>
      <w:r>
        <w:rPr>
          <w:rFonts w:cs="Verdana" w:ascii="Verdana" w:hAnsi="Verdana"/>
          <w:b w:val="false"/>
          <w:bCs w:val="false"/>
          <w:color w:val="auto"/>
          <w:sz w:val="18"/>
          <w:szCs w:val="18"/>
        </w:rPr>
        <w:t>.</w:t>
      </w:r>
    </w:p>
    <w:p>
      <w:pPr>
        <w:pStyle w:val="Normal"/>
        <w:spacing w:lineRule="auto" w:line="360" w:before="0" w:after="0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cs="Verdana" w:ascii="Verdana" w:hAnsi="Verdana"/>
          <w:color w:val="auto"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cs="Verdana" w:ascii="Verdana" w:hAnsi="Verdana"/>
          <w:color w:val="auto"/>
          <w:sz w:val="18"/>
          <w:szCs w:val="18"/>
        </w:rPr>
      </w:r>
    </w:p>
    <w:p>
      <w:pPr>
        <w:pStyle w:val="Normal"/>
        <w:tabs>
          <w:tab w:val="center" w:pos="2268" w:leader="none"/>
          <w:tab w:val="center" w:pos="6804" w:leader="none"/>
        </w:tabs>
        <w:spacing w:lineRule="auto" w:line="360" w:before="0" w:after="0"/>
        <w:jc w:val="both"/>
        <w:rPr>
          <w:color w:val="00000A"/>
        </w:rPr>
      </w:pPr>
      <w:r>
        <w:rPr>
          <w:rFonts w:cs="Verdana" w:ascii="Verdana" w:hAnsi="Verdana"/>
          <w:color w:val="auto"/>
          <w:sz w:val="18"/>
          <w:szCs w:val="18"/>
        </w:rPr>
        <w:tab/>
        <w:t>...............................................</w:t>
        <w:tab/>
        <w:t>...............................................</w:t>
      </w:r>
    </w:p>
    <w:p>
      <w:pPr>
        <w:pStyle w:val="Normal"/>
        <w:tabs>
          <w:tab w:val="center" w:pos="2268" w:leader="none"/>
          <w:tab w:val="center" w:pos="6804" w:leader="none"/>
        </w:tabs>
        <w:spacing w:lineRule="auto" w:line="360" w:before="0" w:after="0"/>
        <w:jc w:val="both"/>
        <w:rPr>
          <w:color w:val="auto"/>
        </w:rPr>
      </w:pPr>
      <w:r>
        <w:rPr>
          <w:rFonts w:cs="Verdana" w:ascii="Verdana" w:hAnsi="Verdana"/>
          <w:color w:val="auto"/>
          <w:sz w:val="18"/>
          <w:szCs w:val="18"/>
        </w:rPr>
        <w:tab/>
      </w:r>
      <w:r>
        <w:rPr>
          <w:rFonts w:cs="Verdana" w:ascii="Verdana" w:hAnsi="Verdana"/>
          <w:color w:val="auto"/>
          <w:sz w:val="18"/>
          <w:szCs w:val="18"/>
        </w:rPr>
        <w:t>Baracsi Polgármesteri Hivatal</w:t>
      </w:r>
      <w:r>
        <w:rPr>
          <w:rFonts w:cs="Verdana" w:ascii="Verdana" w:hAnsi="Verdana"/>
          <w:color w:val="auto"/>
          <w:sz w:val="18"/>
          <w:szCs w:val="18"/>
        </w:rPr>
        <w:tab/>
        <w:t>Web Biztonság Informatika Kft.</w:t>
      </w:r>
    </w:p>
    <w:p>
      <w:pPr>
        <w:pStyle w:val="Normal"/>
        <w:tabs>
          <w:tab w:val="center" w:pos="2268" w:leader="none"/>
          <w:tab w:val="center" w:pos="6804" w:leader="none"/>
        </w:tabs>
        <w:spacing w:lineRule="auto" w:line="360" w:before="0" w:after="0"/>
        <w:rPr>
          <w:color w:val="auto"/>
        </w:rPr>
      </w:pPr>
      <w:r>
        <w:rPr>
          <w:rFonts w:cs="Verdana" w:ascii="Verdana" w:hAnsi="Verdana"/>
          <w:color w:val="auto"/>
          <w:sz w:val="18"/>
          <w:szCs w:val="18"/>
        </w:rPr>
        <w:tab/>
        <w:t>képviselő:</w:t>
        <w:tab/>
        <w:t>képviselő: Tamás Bence ügyvezető</w:t>
      </w:r>
    </w:p>
    <w:sectPr>
      <w:footerReference w:type="default" r:id="rId3"/>
      <w:type w:val="nextPage"/>
      <w:pgSz w:w="11906" w:h="16838"/>
      <w:pgMar w:left="1417" w:right="1417" w:header="0" w:top="1417" w:footer="1417" w:bottom="197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Garamond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  <w:tab/>
      <w:tab/>
    </w:r>
    <w:r>
      <w:rPr/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18"/>
        <w:b/>
        <w:szCs w:val="18"/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;Times New Roman" w:hAnsi="Liberation Serif;Times New Roman" w:eastAsia="SimSun" w:cs="Mangal"/>
      <w:color w:val="00000A"/>
      <w:sz w:val="24"/>
      <w:szCs w:val="24"/>
      <w:lang w:val="hu-HU" w:eastAsia="zh-CN" w:bidi="hi-IN"/>
    </w:rPr>
  </w:style>
  <w:style w:type="paragraph" w:styleId="Cmsor1">
    <w:name w:val="Címsor 1"/>
    <w:basedOn w:val="Normal"/>
    <w:pPr>
      <w:keepNext/>
      <w:tabs>
        <w:tab w:val="left" w:pos="0" w:leader="none"/>
      </w:tabs>
      <w:suppressAutoHyphens w:val="true"/>
      <w:spacing w:lineRule="auto" w:line="240" w:before="0" w:after="0"/>
      <w:ind w:left="0" w:right="0" w:hanging="0"/>
      <w:jc w:val="both"/>
      <w:outlineLvl w:val="0"/>
    </w:pPr>
    <w:rPr>
      <w:rFonts w:ascii="Garamond" w:hAnsi="Garamond" w:eastAsia="Times New Roman" w:cs="Times New Roman"/>
      <w:b/>
      <w:bCs/>
      <w:sz w:val="24"/>
      <w:szCs w:val="24"/>
      <w:lang w:eastAsia="ar-SA"/>
    </w:rPr>
  </w:style>
  <w:style w:type="paragraph" w:styleId="Cmsor2">
    <w:name w:val="Címsor 2"/>
    <w:basedOn w:val="Cmsor"/>
    <w:pPr>
      <w:spacing w:before="200" w:after="120"/>
      <w:outlineLvl w:val="1"/>
    </w:pPr>
    <w:rPr>
      <w:b/>
      <w:bCs/>
      <w:sz w:val="32"/>
      <w:szCs w:val="32"/>
    </w:rPr>
  </w:style>
  <w:style w:type="paragraph" w:styleId="Cmsor3">
    <w:name w:val="Címsor 3"/>
    <w:basedOn w:val="Cmsor"/>
    <w:p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Verdana" w:hAnsi="Verdana" w:cs="Calibri"/>
      <w:b w:val="false"/>
      <w:sz w:val="18"/>
      <w:szCs w:val="18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ListLabel3">
    <w:name w:val="ListLabel 3"/>
    <w:qFormat/>
    <w:rPr>
      <w:b w:val="false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Verdana" w:hAnsi="Verdana" w:cs="Calibri"/>
      <w:b/>
      <w:sz w:val="18"/>
      <w:szCs w:val="18"/>
    </w:rPr>
  </w:style>
  <w:style w:type="character" w:styleId="ListLabel5">
    <w:name w:val="ListLabel 5"/>
    <w:qFormat/>
    <w:rPr>
      <w:rFonts w:ascii="Verdana" w:hAnsi="Verdana" w:cs="Calibri"/>
      <w:b/>
      <w:sz w:val="18"/>
      <w:szCs w:val="18"/>
    </w:rPr>
  </w:style>
  <w:style w:type="character" w:styleId="ListLabel6">
    <w:name w:val="ListLabel 6"/>
    <w:qFormat/>
    <w:rPr>
      <w:rFonts w:ascii="Verdana" w:hAnsi="Verdana" w:cs="Calibri"/>
      <w:b/>
      <w:sz w:val="18"/>
      <w:szCs w:val="18"/>
    </w:rPr>
  </w:style>
  <w:style w:type="character" w:styleId="ListLabel7">
    <w:name w:val="ListLabel 7"/>
    <w:qFormat/>
    <w:rPr>
      <w:rFonts w:ascii="Verdana" w:hAnsi="Verdana" w:cs="Calibri"/>
      <w:b/>
      <w:sz w:val="18"/>
      <w:szCs w:val="18"/>
    </w:rPr>
  </w:style>
  <w:style w:type="character" w:styleId="ListLabel8">
    <w:name w:val="ListLabel 8"/>
    <w:qFormat/>
    <w:rPr>
      <w:rFonts w:ascii="Verdana" w:hAnsi="Verdana" w:cs="Calibri"/>
      <w:b/>
      <w:sz w:val="18"/>
      <w:szCs w:val="18"/>
    </w:rPr>
  </w:style>
  <w:style w:type="character" w:styleId="ListLabel9">
    <w:name w:val="ListLabel 9"/>
    <w:qFormat/>
    <w:rPr>
      <w:rFonts w:ascii="Verdana" w:hAnsi="Verdana" w:cs="Calibri"/>
      <w:b/>
      <w:sz w:val="18"/>
      <w:szCs w:val="18"/>
    </w:rPr>
  </w:style>
  <w:style w:type="character" w:styleId="ListLabel10">
    <w:name w:val="ListLabel 10"/>
    <w:qFormat/>
    <w:rPr>
      <w:rFonts w:ascii="Verdana" w:hAnsi="Verdana" w:cs="Calibri"/>
      <w:b/>
      <w:sz w:val="18"/>
      <w:szCs w:val="18"/>
    </w:rPr>
  </w:style>
  <w:style w:type="character" w:styleId="ListLabel11">
    <w:name w:val="ListLabel 11"/>
    <w:qFormat/>
    <w:rPr>
      <w:rFonts w:ascii="Verdana" w:hAnsi="Verdana" w:cs="Calibri"/>
      <w:b/>
      <w:sz w:val="18"/>
      <w:szCs w:val="18"/>
    </w:rPr>
  </w:style>
  <w:style w:type="character" w:styleId="ListLabel12">
    <w:name w:val="ListLabel 12"/>
    <w:qFormat/>
    <w:rPr>
      <w:rFonts w:ascii="Verdana" w:hAnsi="Verdana" w:cs="Calibri"/>
      <w:b/>
      <w:sz w:val="18"/>
      <w:szCs w:val="18"/>
    </w:rPr>
  </w:style>
  <w:style w:type="character" w:styleId="ListLabel13">
    <w:name w:val="ListLabel 13"/>
    <w:qFormat/>
    <w:rPr>
      <w:rFonts w:ascii="Verdana" w:hAnsi="Verdana" w:cs="Calibri"/>
      <w:b/>
      <w:sz w:val="18"/>
      <w:szCs w:val="18"/>
    </w:rPr>
  </w:style>
  <w:style w:type="character" w:styleId="ListLabel14">
    <w:name w:val="ListLabel 14"/>
    <w:qFormat/>
    <w:rPr>
      <w:rFonts w:ascii="Verdana" w:hAnsi="Verdana" w:cs="Calibri"/>
      <w:b/>
      <w:sz w:val="18"/>
      <w:szCs w:val="18"/>
    </w:rPr>
  </w:style>
  <w:style w:type="character" w:styleId="ListLabel15">
    <w:name w:val="ListLabel 15"/>
    <w:qFormat/>
    <w:rPr>
      <w:rFonts w:ascii="Verdana" w:hAnsi="Verdana" w:cs="Calibri"/>
      <w:b/>
      <w:sz w:val="18"/>
      <w:szCs w:val="18"/>
    </w:rPr>
  </w:style>
  <w:style w:type="character" w:styleId="ListLabel16">
    <w:name w:val="ListLabel 16"/>
    <w:qFormat/>
    <w:rPr>
      <w:rFonts w:ascii="Verdana" w:hAnsi="Verdana" w:cs="Calibri"/>
      <w:b/>
      <w:sz w:val="18"/>
      <w:szCs w:val="18"/>
    </w:rPr>
  </w:style>
  <w:style w:type="character" w:styleId="ListLabel17">
    <w:name w:val="ListLabel 17"/>
    <w:qFormat/>
    <w:rPr>
      <w:rFonts w:ascii="Verdana" w:hAnsi="Verdana" w:cs="Calibri"/>
      <w:b/>
      <w:sz w:val="18"/>
      <w:szCs w:val="18"/>
    </w:rPr>
  </w:style>
  <w:style w:type="character" w:styleId="ListLabel18">
    <w:name w:val="ListLabel 18"/>
    <w:qFormat/>
    <w:rPr>
      <w:rFonts w:ascii="Verdana" w:hAnsi="Verdana" w:cs="Calibri"/>
      <w:b/>
      <w:sz w:val="18"/>
      <w:szCs w:val="18"/>
    </w:rPr>
  </w:style>
  <w:style w:type="character" w:styleId="ListLabel19">
    <w:name w:val="ListLabel 19"/>
    <w:qFormat/>
    <w:rPr>
      <w:rFonts w:ascii="Verdana" w:hAnsi="Verdana" w:cs="Calibri"/>
      <w:b/>
      <w:sz w:val="18"/>
      <w:szCs w:val="18"/>
    </w:rPr>
  </w:style>
  <w:style w:type="character" w:styleId="ListLabel20">
    <w:name w:val="ListLabel 20"/>
    <w:qFormat/>
    <w:rPr>
      <w:rFonts w:ascii="Verdana" w:hAnsi="Verdana" w:cs="Calibri"/>
      <w:b/>
      <w:sz w:val="18"/>
      <w:szCs w:val="18"/>
    </w:rPr>
  </w:style>
  <w:style w:type="character" w:styleId="ListLabel21">
    <w:name w:val="ListLabel 21"/>
    <w:qFormat/>
    <w:rPr>
      <w:rFonts w:ascii="Verdana" w:hAnsi="Verdana" w:cs="Calibri"/>
      <w:b/>
      <w:sz w:val="18"/>
      <w:szCs w:val="18"/>
    </w:rPr>
  </w:style>
  <w:style w:type="character" w:styleId="ListLabel22">
    <w:name w:val="ListLabel 22"/>
    <w:qFormat/>
    <w:rPr>
      <w:rFonts w:ascii="Verdana" w:hAnsi="Verdana" w:cs="Calibri"/>
      <w:b/>
      <w:sz w:val="18"/>
      <w:szCs w:val="18"/>
    </w:rPr>
  </w:style>
  <w:style w:type="character" w:styleId="ListLabel23">
    <w:name w:val="ListLabel 23"/>
    <w:qFormat/>
    <w:rPr>
      <w:rFonts w:ascii="Verdana" w:hAnsi="Verdana" w:cs="Calibri"/>
      <w:b/>
      <w:sz w:val="18"/>
      <w:szCs w:val="18"/>
    </w:rPr>
  </w:style>
  <w:style w:type="character" w:styleId="ListLabel24">
    <w:name w:val="ListLabel 24"/>
    <w:qFormat/>
    <w:rPr>
      <w:rFonts w:ascii="Verdana" w:hAnsi="Verdana" w:cs="Calibri"/>
      <w:b/>
      <w:sz w:val="18"/>
      <w:szCs w:val="18"/>
    </w:rPr>
  </w:style>
  <w:style w:type="character" w:styleId="ListLabel25">
    <w:name w:val="ListLabel 25"/>
    <w:qFormat/>
    <w:rPr>
      <w:rFonts w:ascii="Verdana" w:hAnsi="Verdana" w:cs="Calibri"/>
      <w:b/>
      <w:sz w:val="18"/>
      <w:szCs w:val="18"/>
    </w:rPr>
  </w:style>
  <w:style w:type="character" w:styleId="ListLabel26">
    <w:name w:val="ListLabel 26"/>
    <w:qFormat/>
    <w:rPr>
      <w:rFonts w:ascii="Verdana" w:hAnsi="Verdana" w:cs="Calibri"/>
      <w:b/>
      <w:sz w:val="18"/>
      <w:szCs w:val="18"/>
    </w:rPr>
  </w:style>
  <w:style w:type="character" w:styleId="ListLabel27">
    <w:name w:val="ListLabel 27"/>
    <w:qFormat/>
    <w:rPr>
      <w:rFonts w:ascii="Verdana" w:hAnsi="Verdana" w:cs="Calibri"/>
      <w:b/>
      <w:sz w:val="18"/>
      <w:szCs w:val="18"/>
    </w:rPr>
  </w:style>
  <w:style w:type="character" w:styleId="ListLabel28">
    <w:name w:val="ListLabel 28"/>
    <w:qFormat/>
    <w:rPr>
      <w:rFonts w:ascii="Verdana" w:hAnsi="Verdana" w:cs="Calibri"/>
      <w:b/>
      <w:sz w:val="18"/>
      <w:szCs w:val="18"/>
    </w:rPr>
  </w:style>
  <w:style w:type="character" w:styleId="ListLabel29">
    <w:name w:val="ListLabel 29"/>
    <w:qFormat/>
    <w:rPr>
      <w:rFonts w:ascii="Verdana" w:hAnsi="Verdana" w:cs="Calibri"/>
      <w:b/>
      <w:sz w:val="18"/>
      <w:szCs w:val="18"/>
    </w:rPr>
  </w:style>
  <w:style w:type="character" w:styleId="ListLabel30">
    <w:name w:val="ListLabel 30"/>
    <w:qFormat/>
    <w:rPr>
      <w:rFonts w:ascii="Verdana" w:hAnsi="Verdana" w:cs="Calibri"/>
      <w:b/>
      <w:sz w:val="18"/>
      <w:szCs w:val="18"/>
    </w:rPr>
  </w:style>
  <w:style w:type="character" w:styleId="ListLabel31">
    <w:name w:val="ListLabel 31"/>
    <w:qFormat/>
    <w:rPr>
      <w:rFonts w:ascii="Verdana" w:hAnsi="Verdana" w:cs="Calibri"/>
      <w:b/>
      <w:sz w:val="18"/>
      <w:szCs w:val="18"/>
    </w:rPr>
  </w:style>
  <w:style w:type="character" w:styleId="ListLabel32">
    <w:name w:val="ListLabel 32"/>
    <w:qFormat/>
    <w:rPr>
      <w:rFonts w:ascii="Verdana" w:hAnsi="Verdana" w:cs="Calibri"/>
      <w:b/>
      <w:sz w:val="18"/>
      <w:szCs w:val="18"/>
    </w:rPr>
  </w:style>
  <w:style w:type="character" w:styleId="ListLabel33">
    <w:name w:val="ListLabel 33"/>
    <w:qFormat/>
    <w:rPr>
      <w:rFonts w:ascii="Verdana" w:hAnsi="Verdana" w:cs="Calibri"/>
      <w:b/>
      <w:sz w:val="18"/>
      <w:szCs w:val="18"/>
    </w:rPr>
  </w:style>
  <w:style w:type="character" w:styleId="ListLabel34">
    <w:name w:val="ListLabel 34"/>
    <w:qFormat/>
    <w:rPr>
      <w:rFonts w:ascii="Verdana" w:hAnsi="Verdana" w:cs="Calibri"/>
      <w:b/>
      <w:sz w:val="18"/>
      <w:szCs w:val="18"/>
    </w:rPr>
  </w:style>
  <w:style w:type="character" w:styleId="ListLabel35">
    <w:name w:val="ListLabel 35"/>
    <w:qFormat/>
    <w:rPr>
      <w:rFonts w:ascii="Verdana" w:hAnsi="Verdana" w:cs="Calibri"/>
      <w:b/>
      <w:sz w:val="18"/>
      <w:szCs w:val="18"/>
    </w:rPr>
  </w:style>
  <w:style w:type="character" w:styleId="ListLabel36">
    <w:name w:val="ListLabel 36"/>
    <w:qFormat/>
    <w:rPr>
      <w:rFonts w:ascii="Verdana" w:hAnsi="Verdana" w:cs="Calibri"/>
      <w:b/>
      <w:sz w:val="18"/>
      <w:szCs w:val="18"/>
    </w:rPr>
  </w:style>
  <w:style w:type="character" w:styleId="ListLabel37">
    <w:name w:val="ListLabel 37"/>
    <w:qFormat/>
    <w:rPr>
      <w:rFonts w:ascii="Verdana" w:hAnsi="Verdana" w:cs="Calibri"/>
      <w:b/>
      <w:sz w:val="18"/>
      <w:szCs w:val="18"/>
    </w:rPr>
  </w:style>
  <w:style w:type="character" w:styleId="ListLabel38">
    <w:name w:val="ListLabel 38"/>
    <w:qFormat/>
    <w:rPr>
      <w:rFonts w:ascii="Verdana" w:hAnsi="Verdana" w:cs="Calibri"/>
      <w:b/>
      <w:sz w:val="18"/>
      <w:szCs w:val="18"/>
    </w:rPr>
  </w:style>
  <w:style w:type="character" w:styleId="ListLabel39">
    <w:name w:val="ListLabel 39"/>
    <w:qFormat/>
    <w:rPr>
      <w:rFonts w:ascii="Verdana" w:hAnsi="Verdana" w:cs="Calibri"/>
      <w:b/>
      <w:sz w:val="18"/>
      <w:szCs w:val="18"/>
    </w:rPr>
  </w:style>
  <w:style w:type="character" w:styleId="ListLabel40">
    <w:name w:val="ListLabel 40"/>
    <w:qFormat/>
    <w:rPr>
      <w:rFonts w:ascii="Verdana" w:hAnsi="Verdana" w:cs="Calibri"/>
      <w:b/>
      <w:sz w:val="18"/>
      <w:szCs w:val="18"/>
    </w:rPr>
  </w:style>
  <w:style w:type="character" w:styleId="ListLabel41">
    <w:name w:val="ListLabel 41"/>
    <w:qFormat/>
    <w:rPr>
      <w:rFonts w:ascii="Verdana" w:hAnsi="Verdana" w:cs="Calibri"/>
      <w:b/>
      <w:sz w:val="18"/>
      <w:szCs w:val="18"/>
    </w:rPr>
  </w:style>
  <w:style w:type="character" w:styleId="ListLabel42">
    <w:name w:val="ListLabel 42"/>
    <w:qFormat/>
    <w:rPr>
      <w:rFonts w:ascii="Verdana" w:hAnsi="Verdana" w:cs="Calibri"/>
      <w:b/>
      <w:sz w:val="18"/>
      <w:szCs w:val="18"/>
    </w:rPr>
  </w:style>
  <w:style w:type="character" w:styleId="ListLabel43">
    <w:name w:val="ListLabel 43"/>
    <w:qFormat/>
    <w:rPr>
      <w:rFonts w:ascii="Verdana" w:hAnsi="Verdana" w:cs="Calibri"/>
      <w:b/>
      <w:sz w:val="18"/>
      <w:szCs w:val="18"/>
    </w:rPr>
  </w:style>
  <w:style w:type="character" w:styleId="ListLabel44">
    <w:name w:val="ListLabel 44"/>
    <w:qFormat/>
    <w:rPr>
      <w:rFonts w:ascii="Verdana" w:hAnsi="Verdana" w:cs="Calibri"/>
      <w:b/>
      <w:sz w:val="18"/>
      <w:szCs w:val="18"/>
    </w:rPr>
  </w:style>
  <w:style w:type="character" w:styleId="ListLabel45">
    <w:name w:val="ListLabel 45"/>
    <w:qFormat/>
    <w:rPr>
      <w:rFonts w:ascii="Verdana" w:hAnsi="Verdana" w:cs="Calibri"/>
      <w:b/>
      <w:sz w:val="18"/>
      <w:szCs w:val="18"/>
    </w:rPr>
  </w:style>
  <w:style w:type="character" w:styleId="ListLabel46">
    <w:name w:val="ListLabel 46"/>
    <w:qFormat/>
    <w:rPr>
      <w:rFonts w:ascii="Verdana" w:hAnsi="Verdana" w:cs="Calibri"/>
      <w:b/>
      <w:sz w:val="18"/>
      <w:szCs w:val="18"/>
    </w:rPr>
  </w:style>
  <w:style w:type="character" w:styleId="ListLabel47">
    <w:name w:val="ListLabel 47"/>
    <w:qFormat/>
    <w:rPr>
      <w:rFonts w:ascii="Verdana" w:hAnsi="Verdana" w:cs="Calibri"/>
      <w:b/>
      <w:sz w:val="18"/>
      <w:szCs w:val="18"/>
    </w:rPr>
  </w:style>
  <w:style w:type="character" w:styleId="ListLabel48">
    <w:name w:val="ListLabel 48"/>
    <w:qFormat/>
    <w:rPr>
      <w:rFonts w:ascii="Verdana" w:hAnsi="Verdana" w:cs="Calibri"/>
      <w:b/>
      <w:sz w:val="18"/>
      <w:szCs w:val="18"/>
    </w:rPr>
  </w:style>
  <w:style w:type="character" w:styleId="ListLabel49">
    <w:name w:val="ListLabel 49"/>
    <w:qFormat/>
    <w:rPr>
      <w:rFonts w:ascii="Verdana" w:hAnsi="Verdana" w:cs="Calibri"/>
      <w:b/>
      <w:sz w:val="18"/>
      <w:szCs w:val="18"/>
    </w:rPr>
  </w:style>
  <w:style w:type="character" w:styleId="ListLabel50">
    <w:name w:val="ListLabel 50"/>
    <w:qFormat/>
    <w:rPr>
      <w:rFonts w:ascii="Verdana" w:hAnsi="Verdana" w:cs="Calibri"/>
      <w:b/>
      <w:sz w:val="18"/>
      <w:szCs w:val="18"/>
    </w:rPr>
  </w:style>
  <w:style w:type="character" w:styleId="ListLabel51">
    <w:name w:val="ListLabel 51"/>
    <w:qFormat/>
    <w:rPr>
      <w:rFonts w:ascii="Verdana" w:hAnsi="Verdana" w:cs="Calibri"/>
      <w:b/>
      <w:sz w:val="18"/>
      <w:szCs w:val="18"/>
    </w:rPr>
  </w:style>
  <w:style w:type="character" w:styleId="ListLabel52">
    <w:name w:val="ListLabel 52"/>
    <w:qFormat/>
    <w:rPr>
      <w:rFonts w:ascii="Verdana" w:hAnsi="Verdana" w:cs="Calibri"/>
      <w:b/>
      <w:sz w:val="18"/>
      <w:szCs w:val="18"/>
    </w:rPr>
  </w:style>
  <w:style w:type="character" w:styleId="ListLabel53">
    <w:name w:val="ListLabel 53"/>
    <w:qFormat/>
    <w:rPr>
      <w:rFonts w:cs="Calibri"/>
      <w:b/>
      <w:sz w:val="18"/>
      <w:szCs w:val="18"/>
    </w:rPr>
  </w:style>
  <w:style w:type="character" w:styleId="ListLabel54">
    <w:name w:val="ListLabel 54"/>
    <w:qFormat/>
    <w:rPr>
      <w:rFonts w:cs="Calibri"/>
      <w:b/>
      <w:sz w:val="18"/>
      <w:szCs w:val="18"/>
    </w:rPr>
  </w:style>
  <w:style w:type="character" w:styleId="ListLabel55">
    <w:name w:val="ListLabel 55"/>
    <w:qFormat/>
    <w:rPr>
      <w:rFonts w:cs="Calibri"/>
      <w:b/>
      <w:sz w:val="18"/>
      <w:szCs w:val="18"/>
    </w:rPr>
  </w:style>
  <w:style w:type="character" w:styleId="ListLabel56">
    <w:name w:val="ListLabel 56"/>
    <w:qFormat/>
    <w:rPr>
      <w:rFonts w:cs="Calibri"/>
      <w:b/>
      <w:sz w:val="18"/>
      <w:szCs w:val="18"/>
    </w:rPr>
  </w:style>
  <w:style w:type="character" w:styleId="ListLabel57">
    <w:name w:val="ListLabel 57"/>
    <w:qFormat/>
    <w:rPr>
      <w:rFonts w:cs="Calibri"/>
      <w:b/>
      <w:sz w:val="18"/>
      <w:szCs w:val="18"/>
    </w:rPr>
  </w:style>
  <w:style w:type="character" w:styleId="ListLabel58">
    <w:name w:val="ListLabel 58"/>
    <w:qFormat/>
    <w:rPr>
      <w:rFonts w:cs="Calibri"/>
      <w:b/>
      <w:sz w:val="18"/>
      <w:szCs w:val="18"/>
    </w:rPr>
  </w:style>
  <w:style w:type="character" w:styleId="ListLabel59">
    <w:name w:val="ListLabel 59"/>
    <w:qFormat/>
    <w:rPr>
      <w:rFonts w:cs="Calibri"/>
      <w:b/>
      <w:sz w:val="18"/>
      <w:szCs w:val="18"/>
    </w:rPr>
  </w:style>
  <w:style w:type="character" w:styleId="ListLabel60">
    <w:name w:val="ListLabel 60"/>
    <w:qFormat/>
    <w:rPr>
      <w:rFonts w:cs="Calibri"/>
      <w:b/>
      <w:sz w:val="18"/>
      <w:szCs w:val="18"/>
    </w:rPr>
  </w:style>
  <w:style w:type="character" w:styleId="ListLabel61">
    <w:name w:val="ListLabel 61"/>
    <w:qFormat/>
    <w:rPr>
      <w:rFonts w:cs="Calibri"/>
      <w:b/>
      <w:sz w:val="18"/>
      <w:szCs w:val="18"/>
    </w:rPr>
  </w:style>
  <w:style w:type="character" w:styleId="ListLabel62">
    <w:name w:val="ListLabel 62"/>
    <w:qFormat/>
    <w:rPr>
      <w:rFonts w:cs="Calibri"/>
      <w:b/>
      <w:sz w:val="18"/>
      <w:szCs w:val="18"/>
    </w:rPr>
  </w:style>
  <w:style w:type="character" w:styleId="ListLabel63">
    <w:name w:val="ListLabel 63"/>
    <w:qFormat/>
    <w:rPr>
      <w:rFonts w:cs="Calibri"/>
      <w:b/>
      <w:sz w:val="18"/>
      <w:szCs w:val="18"/>
    </w:rPr>
  </w:style>
  <w:style w:type="character" w:styleId="ListLabel64">
    <w:name w:val="ListLabel 64"/>
    <w:qFormat/>
    <w:rPr>
      <w:rFonts w:cs="Calibri"/>
      <w:b/>
      <w:sz w:val="18"/>
      <w:szCs w:val="18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Llb">
    <w:name w:val="Élőláb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paragraph" w:styleId="Listaszerbekezds">
    <w:name w:val="Listaszerű bekezdés"/>
    <w:basedOn w:val="Normal"/>
    <w:qFormat/>
    <w:pPr>
      <w:widowControl/>
      <w:suppressAutoHyphens w:val="false"/>
      <w:spacing w:lineRule="auto" w:line="276" w:before="0" w:after="200"/>
      <w:ind w:left="720" w:right="0" w:hanging="0"/>
      <w:contextualSpacing/>
    </w:pPr>
    <w:rPr>
      <w:rFonts w:ascii="Calibri" w:hAnsi="Calibri" w:eastAsia="Calibri" w:cs="Times New Roman"/>
      <w:sz w:val="22"/>
      <w:szCs w:val="22"/>
      <w:lang w:bidi="ar-SA"/>
    </w:rPr>
  </w:style>
  <w:style w:type="paragraph" w:styleId="Idzetblokk">
    <w:name w:val="Idézetblokk"/>
    <w:basedOn w:val="Normal"/>
    <w:qFormat/>
    <w:pPr>
      <w:spacing w:before="0" w:after="283"/>
      <w:ind w:left="567" w:right="567" w:hanging="0"/>
    </w:pPr>
    <w:rPr/>
  </w:style>
  <w:style w:type="paragraph" w:styleId="Cm">
    <w:name w:val="Cím"/>
    <w:basedOn w:val="Cmsor"/>
    <w:pPr>
      <w:jc w:val="center"/>
    </w:pPr>
    <w:rPr>
      <w:b/>
      <w:bCs/>
      <w:sz w:val="56"/>
      <w:szCs w:val="56"/>
    </w:rPr>
  </w:style>
  <w:style w:type="paragraph" w:styleId="Alcm">
    <w:name w:val="Alcím"/>
    <w:basedOn w:val="Cmsor"/>
    <w:pPr>
      <w:spacing w:before="60" w:after="120"/>
      <w:jc w:val="center"/>
    </w:pPr>
    <w:rPr>
      <w:sz w:val="36"/>
      <w:szCs w:val="36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LibreOffice/4.4.7.2$Windows_x86 LibreOffice_project/f3153a8b245191196a4b6b9abd1d0da16eead600</Application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2014-12-03T12:43:58Z</dcterms:created>
  <dc:language>hu-HU</dc:language>
  <dcterms:modified xsi:type="dcterms:W3CDTF">2022-07-20T18:12:28Z</dcterms:modified>
  <cp:revision>239</cp:revision>
</cp:coreProperties>
</file>