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Baracs Község Önkormányzata Képviselő-testületének 10/2022. (VII. 29.)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közterület használatáról szóló 18/2008.(X.20.) önkormányzati rendelete módosításáról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Baracs Község Önkormányzata Képviselő-testülete Magyarország Alaptörvénye 32. cikk (1) bekezdés a) pontjában meghatározott feladatkörében eljárva, az épített környezet alakításáról és védelméről szóló 1997. évi LXXVIII. törvény 54. § (5) bekezdésében kapott felhatalmazás alapján, a következőket rendeli el.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közterület használatáról szóló 18/2008.(X.20.) önkormányzati rendelet a következő bevezető résszel egészül ki: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Baracs Község Önkormányzata Képviselő-testülete Magyarország Alaptörvénye 32. cikk (1) bekezdés a) pontjában meghatározott feladatkörében eljárva, „az épített környezet alakításáról és védelméről” szóló 1997. évi LXXVIII. törvény 54. § (5) bekezdésében kapott felhatalmazás alapján, a következőket rendeli el.”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közterület használatáról szóló 18/2008.(X.20.) önkormányzati rendelet 14. § (3)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(3) A 14. § (2) bekezdésben foglalt rendelkezések nem vonatkoznak arra, aki a választási plakátot, hirdetményt helyez el. A választási plakát, hirdetmény elhelyezésére vonatkozó szabályokat a választási eljárásról szóló 2013. XXXVI. törvény tartalmazza.”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közterület használatáról szóló 18/2008.(X.20.) önkormányzati rendelet 1. melléklete az 1. melléklet szerint módosul.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Hatályát veszti A közterület használatáról szóló 18/2008.(X.20.) önkormányzati rendelet bevezető része.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2022. szeptember 1-jén lép hatályba.</w:t>
      </w:r>
      <w:r>
        <w:br w:type="page"/>
      </w:r>
    </w:p>
    <w:p>
      <w:pPr>
        <w:pStyle w:val="TextBody"/>
        <w:bidi w:val="0"/>
        <w:spacing w:lineRule="auto" w:line="240"/>
        <w:jc w:val="right"/>
        <w:rPr>
          <w:rFonts w:ascii="Times New Roman" w:hAnsi="Times New Roman"/>
          <w:i/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1. melléklet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 A közterület használatáról szóló 18/2008.(X.20.) önkormányzati rendelet 1. melléklet cím szövege helyébe a következő rendelkezések lépnek: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1.) 1.) Közterületbe 10 cm-en túl benyúló üzlethomlokzat, kirakatszekrény, üzleti védőtető (előtető, ernyőszerkezet, hirdető berendezés, fényreklám, parabola antenna), cég- és címtábla: 2000</w:t>
      </w:r>
      <w:r>
        <w:rPr>
          <w:b/>
          <w:bCs/>
          <w:sz w:val="24"/>
          <w:szCs w:val="24"/>
        </w:rPr>
        <w:t xml:space="preserve"> Ft/m</w:t>
      </w:r>
      <w:r>
        <w:rPr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/hó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2.) Árusítófülke, pavilon: 1000</w:t>
      </w:r>
      <w:r>
        <w:rPr>
          <w:b/>
          <w:bCs/>
          <w:sz w:val="24"/>
          <w:szCs w:val="24"/>
        </w:rPr>
        <w:t xml:space="preserve"> Ft/m</w:t>
      </w:r>
      <w:r>
        <w:rPr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/hó + ÁFA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3.) Önálló hirdető berendezés, tábla: 400</w:t>
      </w:r>
      <w:r>
        <w:rPr>
          <w:b/>
          <w:bCs/>
          <w:sz w:val="24"/>
          <w:szCs w:val="24"/>
        </w:rPr>
        <w:t xml:space="preserve"> Ft/m</w:t>
      </w:r>
      <w:r>
        <w:rPr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/hó + ÁFA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4.) Alkalmi, helyhez kötött árusítás: 350</w:t>
      </w:r>
      <w:r>
        <w:rPr>
          <w:b/>
          <w:bCs/>
          <w:sz w:val="24"/>
          <w:szCs w:val="24"/>
        </w:rPr>
        <w:t xml:space="preserve"> Ft/m2/nap + ÁFA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5.) Mozgóárusítás: 1500</w:t>
      </w:r>
      <w:r>
        <w:rPr>
          <w:b/>
          <w:bCs/>
          <w:sz w:val="24"/>
          <w:szCs w:val="24"/>
        </w:rPr>
        <w:t xml:space="preserve"> Ft/nap + ÁFA</w:t>
      </w:r>
    </w:p>
    <w:p>
      <w:pPr>
        <w:pStyle w:val="TextBody"/>
        <w:bidi w:val="0"/>
        <w:spacing w:lineRule="auto" w:line="240" w:before="22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6.) Rendezvény - a nem bevételes kulturális rendezvény kivételével: 150</w:t>
      </w:r>
      <w:r>
        <w:rPr>
          <w:b/>
          <w:bCs/>
          <w:sz w:val="24"/>
          <w:szCs w:val="24"/>
        </w:rPr>
        <w:t xml:space="preserve"> Ft/m</w:t>
      </w:r>
      <w:r>
        <w:rPr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/nap + ÁFA</w:t>
      </w:r>
      <w:r>
        <w:rPr>
          <w:sz w:val="24"/>
          <w:szCs w:val="24"/>
        </w:rPr>
        <w:t>”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 A közterület használatáról szóló 18/2008.(X.20.) önkormányzati rendelet 1. melléklet cím szövege helyébe a következő rendelkezések lépnek: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>5</w:t>
      </w:r>
      <w:r>
        <w:rPr>
          <w:b/>
          <w:bCs/>
          <w:sz w:val="24"/>
          <w:szCs w:val="24"/>
        </w:rPr>
        <w:t>00 Ft/m2/nap + ÁFA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8.) Építési munkával kapcsolatos építőanyag, törmeléktárolás - kivéve a jogerős építési engedéllyel történő családi ház építésnél: </w:t>
      </w:r>
      <w:r>
        <w:rPr>
          <w:sz w:val="24"/>
          <w:szCs w:val="24"/>
        </w:rPr>
        <w:t>100</w:t>
      </w:r>
      <w:r>
        <w:rPr>
          <w:b/>
          <w:bCs/>
          <w:sz w:val="24"/>
          <w:szCs w:val="24"/>
        </w:rPr>
        <w:t xml:space="preserve"> Ft/m2/nap + ÁFA.</w:t>
      </w:r>
    </w:p>
    <w:p>
      <w:pPr>
        <w:pStyle w:val="TextBody"/>
        <w:bidi w:val="0"/>
        <w:spacing w:lineRule="auto" w:line="240" w:before="220" w:after="24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9.) Közút és zöldterület bontása és helyreállítása esetén </w:t>
      </w: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b/>
          <w:bCs/>
          <w:sz w:val="24"/>
          <w:szCs w:val="24"/>
        </w:rPr>
        <w:t>00 Ft/m2+ ÁFA</w:t>
      </w:r>
      <w:r>
        <w:rPr>
          <w:sz w:val="24"/>
          <w:szCs w:val="24"/>
        </w:rPr>
        <w:t>”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